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80.2019.43 vom 17. Dezember 2018</w:t>
      </w:r>
    </w:p>
    <w:p>
      <w:r>
        <w:t>TI Tribunale d'appello, 2018-12-17, IT</w:t>
      </w:r>
    </w:p>
    <w:p>
      <w:r>
        <w:rPr>
          <w:b/>
        </w:rPr>
        <w:t xml:space="preserve">Quelle: </w:t>
      </w:r>
      <w:r>
        <w:t>https://mcp.opencaselaw.ch/entscheid/ti_gerichte_80.2019.43</w:t>
      </w:r>
    </w:p>
    <w:p>
      <w:r>
        <w:t>FR: TI_GERICHTE 80.2019.43 du 17 décembre 2018</w:t>
      </w:r>
    </w:p>
    <w:p>
      <w:r>
        <w:t>IT: TI_GERICHTE 80.2019.43 del 17 dicembre 2018</w:t>
      </w:r>
    </w:p>
    <w:p>
      <w:pPr>
        <w:pStyle w:val="Heading2"/>
      </w:pPr>
      <w:r>
        <w:t>Regeste</w:t>
      </w:r>
    </w:p>
    <w:p>
      <w:r>
        <w:t>Assoggettamento illimitato: domicilio, rapporti intercantonali, sportivo professionista, spostamento fra due abitazioni insieme alla famiglia, domicilio alternato</w:t>
      </w:r>
    </w:p>
    <w:p>
      <w:pPr>
        <w:pStyle w:val="Heading2"/>
      </w:pPr>
      <w:r>
        <w:t>Erwägungen</w:t>
      </w:r>
    </w:p>
    <w:p>
      <w:r>
        <w:rPr>
          <w:b/>
        </w:rPr>
        <w:t>E. 7.1</w:t>
      </w:r>
    </w:p>
    <w:p>
      <w:r>
        <w:t>Ora, l’analisi dell’insieme delle circostanze professionali, famigliari e sociali porta questa Camera a concludere per l’esistenza di un domicilio fiscale alternato, che come visto viene ritenuto in via eccezionale, nel caso in cui vi siano due domicili fiscali di egual importanza e ciò a seguito del fatto che nei due luoghi sussistono dei legami di uguale intensità.</w:t>
      </w:r>
    </w:p>
    <w:p>
      <w:r>
        <w:rPr>
          <w:b/>
        </w:rPr>
        <w:t>E. 7.2</w:t>
      </w:r>
    </w:p>
    <w:p>
      <w:r>
        <w:t>In effetti, nel caso che qui ci occupa, non si è confrontati ad un dipendente che, durante la settimana è attivo professionalmente in un Cantone per poi rientrare il weekend, rispettivamente nel tempo libero, presso la famiglia. Come visto, la tipologia di lavoro svolta dal ricorrente lo impegna in maniera intensa per la metà dell’anno in cui si svolge il campionato di disco su ghiaccio (almeno da settembre ad aprile). Il tempo di percorrenza in autovettura tra __________ è di circa 3 ore, per un tragitto di 215 km (cfr. www.viamichelin.it , sito consultato il 5.7.2019). Non si può quindi ritenere che, il domicilio della famiglia sia rimasto esclusivamente a __________. I dati acquisiti permettono di ritenere che la famiglia abbia accompagnato RI 1 e si sia spostata tra i due Cantoni, a dipendenza degli impegni sportivi del marito. Questa costatazione è del resto pure avvalorata dal fatto che la moglie non lavora, ma è iscritta alla __________ presso la quale deve frequentare dei moduli di praticantato (dagli atti svolti ad __________ per un totale di otto settimane nel 2018, alcune delle quali da effettuarsi a fine campionato di hockey), mentre non si sa se abbia anche dovuto frequentare delle lezioni, considerato il fatto che era iscritta dal 2011 (inoltre, il piano orario presentato si riferisce a una sola settimana). Sempre in quest’ordine di pensiero si deve pure considerare che dagli atti non emerge che la figlia della coppia abbia frequentato un asilo nido, rispettivamente un asilo (è nata nel mese di settembre del 2015). Neppure i certificati medici agli atti sono idonei a comprovare, come ritenuto dai ricorrenti, che il domicilio fiscale sia stato esclusivamente a __________. Come visto, proprio la professione svolta da __________ ed il fatto che la famiglia si sia spostata tra i due Cantoni è compatibile con il fatto che la moglie, come anche la figlia, abbiano visitato degli specialisti anche in Svizzera Interna. In questa prospettiva, nulla comprova il fatto che l’auto di marca __________ sia stata acquistata da un rivenditore in Svizzera interna e che porti la targa del __________. Anche per quanto attiene al confronto delle fatture legate al consumo di energia elettrica, si deve rilevare che le stesse non possono essere equiparate: quella emessa dal Canton __________ riguarda l’intero periodo 2017 ed è relativa ad una casa unifamiliare__________ va dal 4.7.2017 al 5.6.2018 ed è relativa ad un appartamento. Ora, dagli atti risulta che i ricorrenti sono arrivati in Ticino solo nel mese di luglio del 2017 (cfr. http://movpop.ti.ch). Già solo per tale ragione è evidente che la bolletta del Canton __________ fosse più elevata. I dati che emergono dalle stesse non mutano peraltro la conclusione di un domicilio fiscale alternato: se si analizza la brochure prodotta dai ricorrenti “Efficienza energetica nelle economie domestiche”, nella quale vengono riportati comunque i dati relativi a case unifamiliari e plurifamiliari” il consumo di 1,673.00 kWh è del tutto ipotizzabile per un appartamento, in cui vive un nucleo famigliare di 3 persone (di cui uno era una bambina in tenera età) che ha una situazione di domicilio alternato.</w:t>
      </w:r>
    </w:p>
    <w:p>
      <w:r>
        <w:rPr>
          <w:b/>
        </w:rPr>
        <w:t>E. 7.3</w:t>
      </w:r>
    </w:p>
    <w:p>
      <w:r>
        <w:t>Si deve concludere che il domicilio della __________, nel periodo in discussione, fosse situato in misura praticamente equivalente nei Cantoni di __________ e del Ticino. Il fatto che si tratti di una famiglia da poco costituita, con una bambina molto piccola, rende particolarmente plausibile l’ipotesi che il marito e padre fosse accompagnato, quasi regolarmente, nei suoi spostamenti dalla moglie e dalla figlia. In ogni caso, la particolare situazione che risulta dagli atti impone di escludere che il domicilio della famiglia sia situato nel Canton Zurigo e che RI 1 risiedesse semplicemente nel Canton Ticino durante la settimana, per lavoro, e che rientrasse a ________nel tempo libero, per ricongiungersi ai propri cari. Motivo per cui, l’analisi delle relazioni famigliari, professionali e sociali dei contribuenti porta questa Camera a concludere che essi abbiano avuto un domicilio alternato tra il Canton Ticino e il Canton Zurigo.</w:t>
      </w:r>
    </w:p>
    <w:p>
      <w:r>
        <w:rPr>
          <w:b/>
        </w:rPr>
        <w:t>E. 8</w:t>
      </w:r>
    </w:p>
    <w:p>
      <w:r>
        <w:t>Il ricorso è parzialmente accolto. Di conseguenza, la decisione su reclamo contro la decisione di assoggettamento del 1.6.2018 è annullata. Viene riconosciuto il domicilio alternato dei ricorrenti tra il Canton __________ ed il Canton Ticino. Le spese processuali e la tassa di giustizia sono poste in ragione di ½ a carico dei ricorrenti. Vengono assegnate ripetibili in ragione del parziale accoglimento del ricorso. Per questi motivi, visto per le spese l’art. 231 LT dichiara e pronuncia 1. Il ricorso è parzialmente accolto . §    Di conseguenza, la decisione su reclamo del 17 dicembre 2018 è riformata nel senso che è riconosciuto il domicilio fiscale alternato dei ricorrenti nel Canton __________ e nel Canton __________. 2.   Le spese processuali consistenti: a. nella tassa di giustizia di                                 fr. 1’500.– b. nelle spese di cancelleria di complessivi     fr.    100.– per un totale di                                                      fr. 1’600.– sono a poste carico dei ricorrenti in ragione di ½ (fr. 800.–). 3. Ai ricorrenti è riconosciuta un’indennità per ripetibili di fr. 800.-. 4.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