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80.2019.270 vom 24. Juli 2019</w:t>
      </w:r>
    </w:p>
    <w:p>
      <w:r>
        <w:t>TI Tribunale d'appello, 2019-07-24, IT</w:t>
      </w:r>
    </w:p>
    <w:p>
      <w:r>
        <w:rPr>
          <w:b/>
        </w:rPr>
        <w:t xml:space="preserve">Quelle: </w:t>
      </w:r>
      <w:r>
        <w:t>https://mcp.opencaselaw.ch/entscheid/ti_gerichte_80.2019.270</w:t>
      </w:r>
    </w:p>
    <w:p>
      <w:r>
        <w:t>FR: TI_GERICHTE 80.2019.270 du 24 juillet 2019</w:t>
      </w:r>
    </w:p>
    <w:p>
      <w:r>
        <w:t>IT: TI_GERICHTE 80.2019.270 del 24 luglio 2019</w:t>
      </w:r>
    </w:p>
    <w:p>
      <w:pPr>
        <w:pStyle w:val="Heading2"/>
      </w:pPr>
      <w:r>
        <w:t>Regeste</w:t>
      </w:r>
    </w:p>
    <w:p>
      <w:r>
        <w:t>Deduzioni: spese di manutenzione immobili, immobile situato in altro cantone, assoggettamento per appartenenza personale, onere della prova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Di conseguenza, il ricorso deve essere respinto per quanto concerne la richiesta relativa all’immobile di __________ (VD). Il ricorso è accolto e gli atti sono ritornati all’RS 1 per nuova decisione per quanto attiene invece alla deduzione per spese di gestione e manutenzione in relazione agli immobili di __________ (BE). Visto l’esito del ricorso, tassa di giustizia e spese processuali sono a carico della ricorrente in ragione di metà. Per questi motivi, visti per le spese gli art. 144 LIFD e 231 LT dichiara e pronuncia 1.   Il ricorso è respinto per quanto attiene alla richiesta di deduzione delle spese di gestione e manutenzione per l’immobile di __________ (VD). 2.   Il ricorso è accolto per quanto concerne la deduzione delle spese di gestione e manutenzione relative agli immobili di __________ (BE). §    Di conseguenza, la decisione di tassazione IC/IFD 2012 dopo reclamo del 24 luglio 2019 è annullata e gli atti sono ritornati all’RS 1 perché adotti una nuova decisione motivata. 3.   Le spese processuali consistenti: a. nella tassa di giustizia di                                 fr.    900.– b. nelle spese di cancelleria di complessivi fr.    100.– per un totale di                                                      fr. 1’000.– sono a carico della ricorrente in ragione di metà (fr. 500.–). 4.   Contro il presente giudizi                                    Copia per conoscenza: - municipio di __________. per la Camera di diritto tributario del Tribunale d’appello Il presidente: La segretari a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