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80.2019.248 vom 9. Juli 2019</w:t>
      </w:r>
    </w:p>
    <w:p>
      <w:r>
        <w:t>TI Tribunale d'appello, 2019-07-09, IT</w:t>
      </w:r>
    </w:p>
    <w:p>
      <w:r>
        <w:rPr>
          <w:b/>
        </w:rPr>
        <w:t xml:space="preserve">Quelle: </w:t>
      </w:r>
      <w:r>
        <w:t>https://mcp.opencaselaw.ch/entscheid/ti_gerichte_80.2019.248</w:t>
      </w:r>
    </w:p>
    <w:p>
      <w:r>
        <w:t>FR: TI_GERICHTE 80.2019.248 du 9 juillet 2019</w:t>
      </w:r>
    </w:p>
    <w:p>
      <w:r>
        <w:t>IT: TI_GERICHTE 80.2019.248 del 9 luglio 2019</w:t>
      </w:r>
    </w:p>
    <w:p>
      <w:pPr>
        <w:pStyle w:val="Heading2"/>
      </w:pPr>
      <w:r>
        <w:t>Regeste</w:t>
      </w:r>
    </w:p>
    <w:p>
      <w:r>
        <w:t>Assoggettamento illimitato: persona giuridica, sede o amministrazione effettiva, sede formale presso una fiduciaria di Zugo, socio e unico dipendente domiciliato nel Canton Ticino</w:t>
      </w:r>
    </w:p>
    <w:p>
      <w:pPr>
        <w:pStyle w:val="Heading2"/>
      </w:pPr>
      <w:r>
        <w:t>Erwägungen</w:t>
      </w:r>
    </w:p>
    <w:p>
      <w:r>
        <w:rPr>
          <w:b/>
        </w:rPr>
        <w:t>E. 24</w:t>
      </w:r>
    </w:p>
    <w:p>
      <w:r>
        <w:t>ottobre 2019, l’UTPG chiede a questa Camera di respingere il ricorso, in quanto la sede di RI 1 è puramente formale, per una serie di argomentazioni di cui, se del caso, si dirà di seguito. In particolare, ribadisce quanto statuito nella decisione 09.07.2019, e meglio che la ricorrente non ha inviato alcuna documentazione che possa attestare il legame con il Cantone Zugo. Diritto 1. La società ricorrente, contestualmente alla sua costituzione, avvenuta il 17 febbraio 2010, è stata assoggettata alle imposte dirette nel Canton Zugo. In virtù della decisione contestata, come anche nella decisione 15 ottobre 2018, l’UTPG ha rivendicato l’assoggettamento nel Canton Ticino a partire dal 1.1.2016, in considerazione del fatto che l’amministrazione effettiva è esercitata in Ticino. L’autorità fiscale ticinese lo ha fatto in base all’art. 60 della legge tributaria cantonale (LT), secondo cui le persone giuridiche sono assoggettate all’imposta in virtù della loro appartenenza personale quando hanno sede o amministrazione effettiva nel Cantone. 2. 2.1. Per quanto attiene ai presupposti per l’assoggettamento illimitato alle imposte dirette delle persone giuridiche, l’art. 20 cpv. 1 prima frase LAID stabilisce che le società di capitali, le società cooperative, le associazioni, le fondazioni e le altre persone giuridiche sono assoggettate all’imposta se hanno la loro sede o la loro amministrazione effettiva nel Cantone (analoga disposizione a livello cantonale, art. 60 LT e federale, art. 50 LIFD).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ad esempio sentenze del TF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Zweifel/Beusch/De Vries Reilingh [a cura di], Interkantonales Steuerrecht, 2 a ediz., Basilea 2021, § 8, p. 90 ss.; de Vries Reilingh , La double imposition intercantonale, 2 a ediz., Berna 2013, n. 389 ss., p. 130; Locher , Einführung in das interkantonale Steuerrecht, 4 a ediz., Berna 2015, p. 47). 2.2.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ad esempio sentenza del TF n. 2C_259/2009 del 22 dicembre 2009, consid. 2; sentenza del Tribunale amministrativo del Canton Zurigo StE 2002 A 24.22 n. 5, consid. 2a e 3; Jung , op. cit., p. 171 s.; Heilinger/ Maute , op. cit., p. 747).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(sentenze del TF n. 2C_431/2014 del 4 dicembre 2014, consid. 2.2; n. 2C_483/2016 dell’11 novembre 2016, consid. 6.3; sentenza del Tribunale amministrativo del Canton Zurigo StE 2002 A 24.22 n. 5, consid. 2a e 3; Heilinger/ Maute , op. cit., p. 748). 2.3. In presenza di un mero recapito bucalettere, il domicilio fiscale della società si trova nel luogo in cui viene svolta la direzione o l’amministrazione effettiva, ovvero – secondo il Tribunale federale –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e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sentenze del TF n. 2C_483/2016 dell’11 novembre 2016, consid. 3 e n. 2C_1086/2012 del 16 maggio 2013, consid. 2.2; De le Court , op. cit., p. 408 s.; Heilinger/ Maute , op. cit., p. 752; Jung , op. cit., p. 172). 2.4. Nella procedura fiscale vigono la massima ufficiale e il principio inquisitorio . L’autorità di tassazione, cui spetta il dovere di chiarire d’ufficio i fatti fiscalmente rilevanti, controlla la dichiarazione d’imposta e procede a tutte le indagini necessarie (artt. 204 cpv. 1 LT e 130 cpv. 1 LIFD), senza essere in particolare vincolata agli elementi imponibili riconosciuti o dichiarati dai contribuenti (cfr. ad esempio sentenza del TF n. 2A.105/2007 del 3 settembre 2007; Berger , Voraussetzungen und Anfechtung der Ermessensveranlagung, in: ASA 75 p. 185, p. 190). La procedura fiscale è inoltre retta dal principio di collaborazione . Secondo gli artt. 196 LT e 123 cpv. 1 LIFD, le autorità di tassazione accertano con il contribuente le condizioni di fatto o di diritto determinanti per un’imposizione completa ed esatta. Inoltre, al contribuente è imposto l’obbligo di fare tutto il necessario per consentire una tassazione completa ed esatta (artt. 200 LT e 126 cpv. 1 LIFD). Egli deve in particolare esporre la situazione in maniera esaustiva e trasparente (decisione del TF n. 2A.502/2005 del 2 febbraio 2006, in: StR 61 p. 442). 2.5. 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invece al contribuente l’onere della prova (“ Gegenbeweis ”) in relazione al trasferimento effettivo e non fittizio di sede (cfr. sentenze del TF n. 2P.6/2007 del 22 febbraio 2008, consid. 2.3; n. 2C_431/2014 del 4 dicembre 2014 consid. 2.1. e n. 2C_483/2016 dell’11 novembre 2016, consid. 6.1 s.; inoltre Heilinger/ Maute , op. cit., p. 746; Jung , op. cit., p. 173; Locher , op. cit., p. 47). Tuttavia, come già ricordato, giusta gli artt. 200 LT e 126 LIFD, il contribuente deve fare tutto il necessario per consentire una tassazione completa ed esatta; ovvero, deve, segnatamente, fornire, a domanda dell’autorità di tassazione, informazioni orali e scritte e presentare libri contabili, giustificativi ed altri estratti, come anche documenti concernenti le relazioni d’affari. Infatti, la descritta regola sull’onere probatorio non è assoluta, in quanto non lascia alcuno spazio a considerazioni inerenti le effettive possibilità probatorie o comportamenti ostruzionistici ( Schär , Normentheorie und mitwirkungsorientierte Beweislastvertilung, in: ASA 67, p. 435). Una prima eccezione è data allorquando il contribuente tralascia, in maniera colpevole ed in violazione degli obblighi appena citati, la collaborazione, possibile ed esigibile, nel chiarimento degli elementi che fondano l’obbligo fiscale. Una seconda eccezione si verifica invece quando il contribuente, per motivi a lui estranei, non può apportare la prova di un fatto che diminuisce il suo debito di imposta oppure può farlo solo prestando una collaborazione che non può essere pretesa ( Zweifel/Hunziker , in: Zweifel/Beusch [a cura di], Kommentar zum schweizerischen Steuerrecht, 3 a ediz., Basilea 2017, n. 29 ad art. 130 LIFD con riferimenti). In definitiva, la massima ufficiale e il principio inquisitorio trovano i loro limiti nel dovere di collaborazione del contribuente, indipendentemente dalla ripartizione oggettiva dell’onere probatorio ( Althaus-Houriet , in: Noël/Aubry Girardin [a cura di], Impôt fédéral direct, Basilea 2017, n. 4 ad art. 123 LIFD). Si giustifica dunque così di attribuire al contribuente l’onere della prova del contrario di ciò che sostiene e dimostra l’autorità fiscale, quando vi sono degli indizi chiari e precisi che rendono verosimile la fattispecie stabilita dalla stessa autorità (ASA 44 p. 621; sentenza del TF n. 2C_770/2008 del 4 marzo 2009; cfr. anche Locher , Kommentar zum DBG, 2 a ediz., Basilea 2019, n. 61 e 62 ad art. 3 LIFD). 2.6. Il Tribunale federale ha avuto modo di confrontarsi molte volte con il tema della determinazione della sede effettiva di una società. In particolare, occupandosi di una società con sede nel Liechtenstein, la cui attività consisteva nella vendita di software, l’Alta Corte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TF n. 2C_483/2016 dell’11 novembre 2016). Nel caso di una società immobiliare, il Tribunale federale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TF n. 2P.120/2006 del 15 dicembre 2006).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TF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TF n. 2C_259/2009 del 22 dicembre 2009). 2.7. 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3. 3.1. La RI 1 è una società costituita il 17 febbraio 2010 e domiciliata in __________, __________. In base all’estratto del registro di commercio del Canton Zugo, membro del Consiglio d’amministrazione con diritto di firma individuale è il signor __________. Nel reclamo la contribuente si è limitata a sostenere che “la sede di __________ in __________ è anche l’unico luogo su suolo elvetico sul quale viene esercitata attività per la società” e nel ricorso che “è dato di fatto che la RI 1 abbia il suo domicilio fiscale a __________”. Per quanto concerne il ruolo di __________, secondo l’insorgente sarebbe impiegata quale responsabile delle vendite, occupandosi della consulenza e della vendita di prodotti per l’igiene principalmente in Italia, ma non sarebbe in grado di concludere transazioni per conto della società, non avendo alcun diritto di firma. L’unica persona autorizzata a firmare per conto della stessa sarebbe infatti __________. 3.2. La stessa ricorrente riconosce che la fiduciaria RA 1, gestita __________, presidente del Consiglio d’amministrazione, si occupa della sua contabilità. RA 1, è una società che si occupa dell’acquisizione di tutte le attività commerciali nell’ambito di una società fiduciaria e di revisione contabile, in particolare di revisioni contabili, mandati di revisione contabile, consulenza fiscale e legale, amministrazione fiduciaria e amministrazione; può partecipare ad altre società e acquisire, gestire e vendere brevetti, licenze e titoli (cfr. www.zefix.ch, sito consultato il 28.03.2022). Inoltre, come sottolineato dall’UTPG, inserendo il nome di __________ nel registro commercio del Canton __________, è possibile evincere che ricopre diverse cariche per molteplici società (270, compresi gli enti giuridici radiati), molte delle quali detengono lo stesso recapito della ricorrente e della stessa fiduciaria, e meglio __________, __________. In ragione di quanto precede, è difficile pensare che il signor __________ possa effettivamente occuparsi della gestione e della direzione della società, dal momento che non ne è dipendente né riceve compensi da parte della società. Del resto, __________ risulta aver sempre operato nell’ambito prettamente fiduciario, come si evince dal suo curriculum ( http://wmfocus.com/en/who-we-are ), ragione per cui non è plausibile che si sia occupato anche della commercializzazione di prodotti per l’igiene. Dal conto economico della ricorrente per i periodi fiscali 2016, 2017 e 2018 si può evincere che fra i costi d’esercizio non figurano spese riconducibili alla locazione di uffici. Alla voce “Raumaufwand” (costo dei locali) è registrato un costo di soli fr. 1'200.- annui, che è compatibile solo la domiciliazione della società presso una fiduciaria e non certo con la locazione di uffici a __________. 3.3. È fuori discussione che l’unica dipendente della società insorgente sia __________, che è anche azionista unica. Pur non avendo diritto di firma secondo il registro di commercio, non può che essere quest’ultima ad occuparsi della consulenza e della vendita dei prodotti, adempiendo così in toto allo scopo statutario della ricorrente. Del resto, la stessa insorgente ammette che l’attività commerciale non si svolge a Zugo, laddove sottolinea come la vendita dei prodotti per l’igiene avvenga maggiormente in Italia, tanto è vero che nel ricorso afferma che “il principale cliente di RI 1 è __________, con sede a __________, Italia”. Si deve allora riconoscere che il luogo in cui vengono adottate le decisioni determinanti per lo svolgimento dell’attività societaria coincide con il domicilio dell’unica dipendente e azionista.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 op. cit., p. 172). 3.4. In merito alla questione della delimitazione fra amministrazione e vendita di prodotti, la ricorrente adotta un’interpretazione della nozione di amministrazione effettiva molto formale. Sostiene infatti che, pur essendo “la vendita una funzione estremamente importante per un’azienda” , la stessa non può essere qualificata “come una vera amministrazione”. A suo avviso, l’amministrazione effettiva sarebbe esercitata “presso la sede legale della società in cui si trova l’unica firma autorizzata”. Come già ricordato, tuttavia, il luogo dell’amministrazione effettiva corrisponde a quello in cui sono esercitate quelle attività di gestione che di solito si concentrano alla sede statutaria (sentenza del TF 2C_888/2019 del 5 gennaio 2021 consid. 4.1 e giurisprudenza citata). L'amministrazione effettiva - nel senso sopra descritto - si distingue: da una parte, dall'attività puramente amministrativa; d'altra parte, quando essi si limitano al controllo sulla direzione operativa e a prendere decisioni di principio, dall'attività svolta dagli organi supremi della società (sentenza del TF 2C_888/2019 del 5 gennaio 2021 consid. 4.2 e giurisprudenza citata). Il mero fatto che l’unica persona con diritto di firma sia un fiduciario che opera a Zugo non basta pertanto per concludere che qui sia esercitata l’amministrazione effettiva della ricorrente. L’amministrazione effettiva, come rilevato, si distingue fra l’altro proprio dall’attività puramente amministrativa. 3.5. A proposito del ruolo del dr. __________, membro del consiglio d’amministrazione con firma individuale, non basta il mandato conferito alla sua fiduciaria a determinare l’assoggettamento della ricorrente nel Canton Zugo. L’amministrazione effettiva non può infatti essere esercitata da un terzo nemmeno in presenza di un mandato di gestione. Infatti, per invalsa giurisprudenza, non è concepibile che l’amministrazione effettiva di una società sia effettuata da terzi su base contrattuale, motivo per cui la sede legale del terzo soggetto non può essere considerata nella pratica come il domicilio fiscale principale (sentenza del Tribunale federale 2C_539/2017 del 7 febbraio 2019 consid. 3.1 e giurisprudenza citata). A questo riguardo, secondo la giurisprudenza del Tribunale federale di regola è escluso che l’amministrazione effettiva di una società possa essere esercitata da terzi in base a un contratto di mandato, per il fatto che il mandatario agisce solo entro i limiti del mandato conferitogli ed in tal modo la direzione effettiva permane presso il mandante. La giurisprudenza ammette tutt’al più che sia possibile un’eccezione, nel caso in cui il mandatario o il fiduciario disponga di un ampio potere decisionale o si assuma ulteriori compiti (sentenza del TF del 6.11.2001, in StE A 24.22 n. 4 consid. 3). Nel caso in esame, l’insorgente non ha in alcun modo comprovato l’attribuzione di un qualsivoglia potere decisionale al mandatario. La stessa appare del resto inverosimile anche solo pensando al numero di società domiciliate presso la stessa fiduciaria. 3.6. L’autorità fiscale ticinese ha raccolto dunque numerosi indizi rilevanti per stabilire che la ricorrente abbia a Zugo una mera sede formale. La contribuente, da parte sua, non ha dato alcun seguito alla richiesta di documentazione del 17 maggio 2019 da parte dell’autorità fiscale e nemmeno in sede ricorsuale ha prodotto documentazione atta a comprovare l’effettivo svolgimento di attività della società nel Canton __________. In tal modo, la ricorrente non è stata in grado di comprovare l’esistenza di un’amministrazione effettiva a __________, né in sede di reclamo, né nel ricorso inoltrato alla Camera di diritto tributario, come invece le incombeva in virtù della ripartizione dell’onere della prova. 4. 4.1. In via subordinata, l’insorgente postula una ripartizione intercantonale dell’imposta sull’utile e sul capitale per gli anni 2016, 2017 e 2018. 4.2. È dubbio che la domanda subordinata della ricorrente sia ricevibile. Essa concerne infatti non l’assoggettamento alle imposte cantonali in quanto tale bensì l’estensione dell’assoggettamento. Secondo la giurisprudenza, infatti, il contribuente che riconosce l’assoggettamento, ma ne contesta la qualifica di assoggettamento limitato o illimitato, non ha diritto ad una decisione pregiudiziale, poiché è controversa solo l’estensione dell’assoggettamento (sentenza del TF 2C_799/2017 e 2C_800/2017 del 18 settembre 2018 consid. 4.1 con riferimenti a dottrina e giurisprudenza). Nel caso in discussione, la società contribuente vorrebbe che il fisco ticinese riconoscesse che l’assoggettamento illimitato è parziale, in quanto vi è uno stabilimento d’impresa nel Canton Zugo. Litigioso non è pertanto l’assoggettamento in sé bensì la sua portata. In ogni caso, in base alla documentazione agli atti, l’esistenza di uno stabilimento d’impresa fuori Cantone può essere esclusa. 4.3. Secondo l’art. 62 cpv. 1 LT, l’assoggettamento in virtù dell’appartenenza personale è illimitato; esso non si estende tuttavia alle imprese, agli stabilimenti d’impresa e ai fondi siti fuori Cantone. L’art. 61 cpv. 3 LT stabilisce che per stabilimento d’impresa si intende una sede fissa di affari o di lavoro dove si svolge, in tutto o in parte, l’attività di un’impresa. Sono considerate tali, in particolare, le succursali, le officine, i laboratori, gli uffici di vendita, le rappresentanze permanenti, le miniere e ogni altro luogo di estrazione di risorse naturali, come anche i cantieri di costruzione o di montaggio la cui durata è di almeno dodici mesi. Conformemente alla giurisprudenza del Tribunale federale, si è in presenza di uno stabilimento d’impresa quando una società possiede impianti o installazioni materiali permanenti che formano una parte dell'azienda fuori Cantone e per mezzo dei quali l'attività tecnica e commerciale della stessa viene esercitata in misura qualitativamente e quantitativamente rilevante (DTF 134 I 303 consid. 2.2 p. 307 in fine con richiami). 4.4. Nella concreta fattispecie, per le ragioni illustrate non è possibile ammettere che vi sia uno stabilimento d’impresa presso l’indirizzo della fiduciaria di Zugo. L’insorgente non ha comprovato in alcun modo che vi viene impiegato del personale né che vi dispone di locali adibiti ad ufficio. La domanda subordinata, nella misura in cui è ricevibile, è pertanto a sua volta respinta. 5. Il ricorso è respinto. La tassa di giustizia e le spese sono poste a carico della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