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80.2018.88 vom 6. April 2018</w:t>
      </w:r>
    </w:p>
    <w:p>
      <w:r>
        <w:t>TI Tribunale d'appello, 2018-04-06, IT</w:t>
      </w:r>
    </w:p>
    <w:p>
      <w:r>
        <w:rPr>
          <w:b/>
        </w:rPr>
        <w:t xml:space="preserve">Quelle: </w:t>
      </w:r>
      <w:r>
        <w:t>https://mcp.opencaselaw.ch/entscheid/ti_gerichte_80.2018.88</w:t>
      </w:r>
    </w:p>
    <w:p>
      <w:r>
        <w:t>FR: TI_GERICHTE 80.2018.88 du 6 avril 2018</w:t>
      </w:r>
    </w:p>
    <w:p>
      <w:r>
        <w:t>IT: TI_GERICHTE 80.2018.88 del 6 aprile 2018</w:t>
      </w:r>
    </w:p>
    <w:p>
      <w:pPr>
        <w:pStyle w:val="Heading2"/>
      </w:pPr>
      <w:r>
        <w:t>Regeste</w:t>
      </w:r>
    </w:p>
    <w:p>
      <w:r>
        <w:t>Procedura: riscossione, interessi di ritardo, pagamento acconti con numero di riferimento errato, restituzione degli importi, annullamento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giorn per la Camera di diritto tributario del Tribunale d’appello Il presidente: La segretari a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