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80.2017.290 vom 8. November 2017</w:t>
      </w:r>
    </w:p>
    <w:p>
      <w:r>
        <w:t>TI Tribunale d'appello, 2017-11-08, IT</w:t>
      </w:r>
    </w:p>
    <w:p>
      <w:r>
        <w:rPr>
          <w:b/>
        </w:rPr>
        <w:t xml:space="preserve">Quelle: </w:t>
      </w:r>
      <w:r>
        <w:t>https://mcp.opencaselaw.ch/entscheid/ti_gerichte_80.2017.290</w:t>
      </w:r>
    </w:p>
    <w:p>
      <w:r>
        <w:t>FR: TI_GERICHTE 80.2017.290 du 8 novembre 2017</w:t>
      </w:r>
    </w:p>
    <w:p>
      <w:r>
        <w:t>IT: TI_GERICHTE 80.2017.290 del 8 novembre 2017</w:t>
      </w:r>
    </w:p>
    <w:p>
      <w:pPr>
        <w:pStyle w:val="Heading2"/>
      </w:pPr>
      <w:r>
        <w:t>Regeste</w:t>
      </w:r>
    </w:p>
    <w:p>
      <w:r>
        <w:t>Assoggettamento illimitato: persona giuridica, sede o amministrazione effettiva, sede bucalettere nel Canton Grigioni, amministratore e azionista unico domiciliato nel Canton Ticino</w:t>
      </w:r>
    </w:p>
    <w:p>
      <w:pPr>
        <w:pStyle w:val="Heading2"/>
      </w:pPr>
      <w:r>
        <w:t>Erwägungen</w:t>
      </w:r>
    </w:p>
    <w:p>
      <w:r>
        <w:rPr>
          <w:b/>
        </w:rPr>
        <w:t>E. 1.1</w:t>
      </w:r>
    </w:p>
    <w:p>
      <w:r>
        <w:t>La ricorrente, in seguito al trasferimento della sede, avvenuta nell’aprile del 2013, è stata assoggettata alle imposte dirette nel Canton Grigioni. In virtù della decisione contestata, l’autorità fiscale ticinese ha rivendicato l’assoggettamento in considerazione del fatto che l’amministrazione effettiva è esercitata in Ticino. Lo ha fatto in base all’art. 60 della legge tributaria cantonale (LT), secondo cui le persone giuridiche sono assoggettate all’imposta in virtù della loro appartenenza personale quando hanno sede o amministrazione effettiva nel Cantone.</w:t>
      </w:r>
    </w:p>
    <w:p>
      <w:r>
        <w:rPr>
          <w:b/>
        </w:rPr>
        <w:t>E. 1.2</w:t>
      </w:r>
    </w:p>
    <w:p>
      <w:r>
        <w:t>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w:t>
      </w:r>
    </w:p>
    <w:p>
      <w:r>
        <w:rPr>
          <w:b/>
        </w:rPr>
        <w:t>E. 1.3</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 op. cit., p. 171 s.; Heilinger/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w:t>
      </w:r>
    </w:p>
    <w:p>
      <w:r>
        <w:rPr>
          <w:b/>
        </w:rPr>
        <w:t>E. 1.4</w:t>
      </w:r>
    </w:p>
    <w:p>
      <w:r>
        <w:t>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op. cit., p. 408 s.; Heilinger/ Maute , op. cit., p. 752; Jung , op. cit., p. 172; Zweifel/Hunziker , in: Zweifel/Beusch/Mäusli-Allenspach, op. cit., § 8, n. 9 e 13, p. 96 e 98 s.).</w:t>
      </w:r>
    </w:p>
    <w:p>
      <w:r>
        <w:rPr>
          <w:b/>
        </w:rPr>
        <w:t>E. 1.5</w:t>
      </w:r>
    </w:p>
    <w:p>
      <w:r>
        <w:t>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sentenza del Tribunale federale n. 2P.6/2007 del 22 febbraio 2008, consid. 2.3; n. 2C_431/2014 del 4 dicembre 2014 consid. 2.1.; 2C_483/2016 del 11 novembre 2016, consid. 6.1 s.; inoltre Heilinger/ Maute , op. cit., p. 746; Jung , op. cit., p. 173; Zweifel/Hunziker , in: Zweifel/Beusch/Mäusli-Allenspach, op. cit., § 8, n. 20-22, p. 101 s.; Locher , op. cit., p. 47).</w:t>
      </w:r>
    </w:p>
    <w:p>
      <w:r>
        <w:rPr>
          <w:b/>
        </w:rPr>
        <w:t>E. 1.6</w:t>
      </w:r>
    </w:p>
    <w:p>
      <w:r>
        <w:t>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 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(sentenza del 15 dicembre 2006, n. 2P.120/2006,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Tribunale federale n. 2C_259/2009 del 22 dicembre 2009).</w:t>
      </w:r>
    </w:p>
    <w:p>
      <w:r>
        <w:rPr>
          <w:b/>
        </w:rPr>
        <w:t>E. 1.7</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 2. 2.1. Nel caso concreto, RI 1 ha la propria sede nel Canton Grigioni dal 10.10.2013. Dall’estratto del registro di commercio emerge che la stessa ha la propria sede attuale in via __________ a __________. In precedenza aveva la sede presso __________ ed ancor prima (ossia dalla sua costituzione sino al 2013) era domiciliata nel Canton Ticino a __________, in via __________. Autorizzato a rappresentare la società è __________, cittadino __________ domiciliato a __________. Egli è membro del Consiglio di amministrazione nonché azionista unico di RI 1 (cfr. sito internet www.zefix.ch , consultato il 27.2.2018). 2.2. Come visto, 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d’importanti infrastrutture (“ wesentliche Büroinfrastrukturen”) nel luogo di sede. 2.3. Si rileva innanzitutto come, per quanto concerne la prima sede nel Canton __________, ossia presso __________, la ricorrente non ha presentato alcun documento attestante una sua effettiva presenza. In particolare, nel contesto del reclamo 11/12.1.2017, RI 1 indica: “ (...) dopo un passaggio a __________ in attesa di trovare un ufficio adeguato, ha preso in subaffitto un ufficio a __________ (...)” (pag. 2 del reclamo 11/12.1.2017). In merito a questa prima domiciliazione nel Canton __________ va osservato che se si immette nel registro di commercio del Canton __________ il nominativo di __________ ( https://gr.chregister.ch/cr-portal/suche/suche.xhtml , sito consultato il 23.1.2018) si può notare che la stessa ricopre molte cariche per società più disparate, molte delle quali risultano avere il proprio recapito presso __________ a __________, dove si trova anche la sede di __________ ed un tempo di RI 1 (a titolo esemplificativo si possono citare __________, __________, __________, __________, la Fondazione __________ __________, __________, __________, __________). Deve anche essere rilevato che __________ è una fiduciaria, come ben si evince dallo scopo della società, visualizzabile sul sito internet del registro di commercio del Canton __________. De facto , in assenza di prove apportate dalla contribuente si può concludere che dal 10.10.2013 al 9.7.2014 la società non aveva uffici propri nel Canton __________, ma che disponeva di un mero recapito presso una fiduciaria. Per quanto concerne la sede di __________, ubicata in via __________, la società insorgente presenta un contratto di subaffitto concluso con __________ (società che tra le altre cose, al momento in cui era stato sottoscritto il contratto tra le parti aveva come scopo sociale anche la consulenza aziendale e le intermediazioni di tipo commerciale e finanziario, nonché la prestazione di servizi fiduciari, www.zefix.ch , sito consultato il 1°.3.2018). In particolare lo stesso è stato concluso per una durata indeterminata, il canone di locazione è di fr. 150.- tutto compreso: viene messo a disposizione un locale/ufficio non arredato e l’uso dei servizi. Ora anche per quanto attiene a questa sede non si può non rilevare come, al momento dell’insediamento della società all’indirizzo di via __________, a quest’indirizzo fosse ancora domiciliata la __________ (che si è poi trasferita nel mese di ottobre 2016 all’indirizzo di __________, sempre a __________. Ora, l’esiguo per non dire irrisorio canone di locazione stipulato tra le parti, nonché il fatto che il contratto di subaffitto è stato stipulato con una società che svolgeva attività di tipo fiduciario, non permettono ritenere provata l’esistenza di legami stretti con il territorio grigionese e fanno per contro propendere per l’assenza d’importanti infrastrutture (“ wesentliche Büroinfrastrukturen”) nel luogo di sede. Va inoltre specificato che la ricorrente, dal cambio di sede di parte locatrice non ha prodotto alcuna altra documentazione attestante l’esistenza di un contratto di locazione/sublocazione. 2.4. In tal senso appare particolarmente calzante l’osservazione dell’UTPG secondo cui RI 1 non impiega alcun dipendente: se è vero che sicuramente la ricorrente può dotarsi del numero di personale che più le si addice, tuttavia non si può non rilevare che tutta l’attività dell’insorgente è concentrata nelle mani di __________, che è domiciliato a __________ e che, nel 2014 (ossia quando già la sede di RI 1 era stata trasferita nel Canton __________) ha costituto la “__________ditta individuale attiva nel ramo della rivendita di oggettistica, che può eseguire anche il cambio di biglietti di banca e clientela retail, e può anche effettuare attività di introducing broker presso banche (e non la gestione). Tali scopi sono del tutto simili a quelli svolti dalla società insorgente. L’indirizzo di questa ditta coincide con quello del domicilio dell’amministratore unico di RI 1. In merito a __________, viene indicato come la stessa avrebbe avuto corta vita, smettendo la propria attività già a metà del 2014. Ora, come correttamente rilevato dall’UTPG, la ditta risulta a tutt’oggi iscritta a registro di commercio (in merito all’importanza del registro di commercio nell’attestare fatti giuridici rilevanti si veda l’art. 1 dell’Ordinanza sul registro di commercio [ORC; RS 221.411]). L’art. 39 cpv. 1 dell’ORC stabilisce inoltre che “Se cessa l’attività aziendale o la trasferisce a un’altra persona o a un altro ente giuridico, il titolare di una ditta individuale deve notificare la cancellazione della ditta individuale”. Considerata la pubblicità del registro di commercio, indipendentemente da quanto afferma RI 1, si deve ritenere che __________ di __________ sia tuttora esistente. Tutti questi elementi, presi nel loro insieme, conducono a ritenere che l’amministrazione effettiva e la direzione di RI 1RI 1 sia da sempre stata esercitata nel Canton Ticino, luogo in cui risiede il suo amministratore unico, che è impegnato anche in un’altra società. Per contro non è stato apportato alcun tipo di prova che possa permettere di localizzare nel Canton __________ l’amministrazione effettiva di RI 1. Dagli atti non emerge che nel Canton __________ vengano svolte quelle attività che nel loro insieme servono all’adempimento dello scopo statutario. Non risulta in particolare che la società abbia nel Canton __________ “(...) il centro dei propri interessi effettivi ed economici e dove sono esercitate quelle attività dirigenziali che di solito si concentrano alla sede statutaria”. 3. 3.1. Vi sono per contro molteplici elementi che portano questa Camera a ritenere che la decisione dell’UTPG di assoggettare la società alle imposte nel Canton Ticino sia corretta. 3.2. Il domicilio dell’amministratore unico, che è pure azionista unico di RI 1, è in __________, a __________. Come visto in precedenza la società non ha dipendenti: l’amministrazione e la direzione societaria sono nelle mani di __________, che è inoltre l’unica persona abilitata ad impegnare la società, godendo del diritto di firma individuale. Questi ha il compito di esercitare l’attività fiduciaria, la consulenza commerciale ed aziendale, nonché la gestione patrimoniale. La presenza in Ticino di __________ è inoltre avallata dalla sua parteicpazione ad altre ditte e società. In primo luogo, è attivo per __________, ditta individuale di sua pertinenza con sede a __________, presso il suo domicilio, che è attiva pressappoco negli stessi settori di RI 1. È inoltre stato, dal 1999 al 12.10.2017, membro del CdA con diritto di firma individuale di __________, con sede sino al 12.10.2017 in via __________ a __________ (medesima sede iniziale di RI 1 e della quale l’altro membro del CdA, il Presidente, era un cittadino __________, domiciliato a __________).__________ aveva come scopo, tra gli altri, anche la partecipazione quale holding ad imprese finanziarie, industriali, commerciali ed immobiliari. 3.3. Va segnalato che, secondo dottrina e giurisprudenza, il domicilio della persona incaricata di svolgere la direzione corrente della società gioca un ruolo particolarmente importante, soprattutto nelle piccole imprese, dove tipicamente l’amministrazione effettiva è concentrata in una sola persona, in particolare se la società non dispone di infrastrutture e di personale. In questi casi il Tribunale federale applica per analogia le regole valide per il domicilio di un lavoratore indipendente senza sede operativa (sentenza del Tribunale federale n. 2A.321/2003 del 4 dicembre 2003, in StE 2005 B 71.31 n.1; Zweifel/Hunziker , in: Zweifel/Beusch/Mäusli-Allenspach, op. cit., § 8, n. 14, p. 99; de Vries Reilingh, op. cit., n. 394, p. 131; Heilinger/ Maute, op. cit., p. 757; Jung, op. cit., p. 172). 3.4. L’amministrazione effettiva e la direzione di RI 1 nel Canton Ticino risultano anche dall’analisi del conto economico per il periodo fiscale 2014 della ricorrente. In effetti balza all’occhio l’esiguità della somma corrisposta in affitti – appena fr. 900.- – se confrontata con le spese telefoniche, per fr. 7'244.80 (derivanti dall’utilizzo del cellulare, posto come il numero della società è stato deviato all’utenza mobile). È quindi ben ipotizzabile che __________ possa svolgere, per conto di RI 1, tutte le operazioni amministrative e dirigenziali direttamente tramite l’uso del telefono portatile, senza necessità di spostarsi a __________. In tal senso si deve rilevare che dal sito internet __________ (consultato il 1°.3.2018) emerge chiaramente come la società sia attiva nella gestione patrimoniale. In particolar modo viene indicato: “La Società ha stipulato accordi come “Gestore esterno” con alcune banche della piazza __________ ed estera”. Da dichiarazioni della medesima ricorrente, ha indicato di collaborare con __________ a __________ (v. punto 7.7. del ricorso). Per contro la ricorrente non ha comprovato di svolgere una simile attività nel Canton __________. Tutti questi elementi portano ancora una volta a consolidare la tesi che l’effettiva amministrazione e direzione della società vengono svolte nel Canton Ticino. 3.5. A ciò deve essere aggiunto anche che __________ non figura nell’albo dei fiduciari __________ (consultabile al sito internet https://www4.ti.ch/di/dg/fiduciari/albo-online/albo-online-dei-fiduciari/ , visualizzato il 1°.3.2018). Ora, per svolgere l’attività di gestore patrimoniale è necessario disporre di una patente di fiduciario. In particolare secondo l’art. 1 cpv. 1 della Legge sull’esercizio della professione di fiduciario (LFid, RL 11.1.4.1.) “le attività di fiduciario commercialista, fiduciario immobiliare e fiduciario finanziario per conto di terzi a titolo professionale nel Cantone Ticino sono soggette ad autorizzazione”. È considerato fiduciario finanziario (art. 5 LFid) ad esempio chi si occupa della gestione e l’amministrazione di patrimoni e portafogli come pure di operazioni di cambio. Se è vero che sino al 2015 la società poteva contare sulla presenza nel Cda di almeno una persona autorizzata a svolgere l’attività di fiduciario, tuttavia non si può ignorare l’esiguo compenso da essa percepita quale membro del Cda, se raffrontato all’indennità ricevuta da __________. Va da sé che per poter esercitare la professione di fiduciario occorre avere un’autorizzazione personale, ciò che non è mai stato il caso per l’amministratore unico, nonché azionista unico di RI 1. Ora, è chiaro che, non essendoci più alcuna persona autorizzata a svolgere l’attività di fiduciario, il trasferimento della sede formale nel Canton __________ appare dettato altresì da considerazioni legate all’esistenza della normativa ticinese sull’esercizio della professione di fiduciario. 3.6. Anche le spese relative al consumo di carburante per l’automobile fanno propendere per l’effettiva amministrazione della società nel Canton Ticino: se RI 1 fosse effettivamente attiva sul suolo grigionese – ad esempio per la visita dei clienti, per gli spostamenti verso istituti di credito grigionesi - si sarebbe trovato almeno uno scontrino relativo ad un pieno di carburante fatto ad una stazione di benzina che non fosse __________. 3.7. Così stando le cose, si può ritenere come la società ricorrente non abbia documentato un vero legame con il Canton Grigioni. Sussistono invece molteplici indizi a favore dell’effettiva amministrazione della società nel Canton Ticino: elementi che sono stati presentati e ben esposti da parte dell’autorità fiscale. Ne consegue come l’amministrazione effettiva della società, a tempo dal 1°.1.2014, sia esercitata in Ticino.</w:t>
      </w:r>
    </w:p>
    <w:p>
      <w:r>
        <w:rPr>
          <w:b/>
        </w:rPr>
        <w:t>E. 4</w:t>
      </w:r>
    </w:p>
    <w:p>
      <w:r>
        <w:t>Il ricorso è respinto. La tassa di giustizia e le spese processuali sono poste a carico della ricorrente, soccombente. Per questi motivi, visto per le spese l’art. 231 LT dichiara e pronuncia 1.   Il ricorso è respinto . 2.   Le spese processuali consistenti: a. nella tassa di giustizia di                                fr. 1’500.– b. nelle spese di cancelleria di complessivi    fr.    100.– per un totale di                                                      fr. 1’600.– sono a carico della ricorrente. 3.   Contro il presente giudizio è dato ricorso in materia di diritto pubblico al Tribunale federale in Losanna, entro 30 giorni (art. 146 LIFD; art. 73 LAID; art. 82 ss. LTF). 4.   Intimazione a: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