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80.2017.236 vom 5. September 2017</w:t>
      </w:r>
    </w:p>
    <w:p>
      <w:r>
        <w:t>TI Tribunale d'appello, 2017-09-05, IT</w:t>
      </w:r>
    </w:p>
    <w:p>
      <w:r>
        <w:rPr>
          <w:b/>
        </w:rPr>
        <w:t xml:space="preserve">Quelle: </w:t>
      </w:r>
      <w:r>
        <w:t>https://mcp.opencaselaw.ch/entscheid/ti_gerichte_80.2017.236</w:t>
      </w:r>
    </w:p>
    <w:p>
      <w:r>
        <w:t>FR: TI_GERICHTE 80.2017.236 du 5 septembre 2017</w:t>
      </w:r>
    </w:p>
    <w:p>
      <w:r>
        <w:t>IT: TI_GERICHTE 80.2017.236 del 5 settembre 2017</w:t>
      </w:r>
    </w:p>
    <w:p>
      <w:pPr>
        <w:pStyle w:val="Heading2"/>
      </w:pPr>
      <w:r>
        <w:t>Regeste</w:t>
      </w:r>
    </w:p>
    <w:p>
      <w:r>
        <w:t>Assoggettamento illimitato: persona giuridica, sede o amministrazione effettiva, sede bucalettere nel Canton Grigioni, amministratori e azionisti nel Canton Ticino</w:t>
      </w:r>
    </w:p>
    <w:p>
      <w:pPr>
        <w:pStyle w:val="Heading2"/>
      </w:pPr>
      <w:r>
        <w:t>Erwägungen</w:t>
      </w:r>
    </w:p>
    <w:p>
      <w:r>
        <w:rPr>
          <w:b/>
        </w:rPr>
        <w:t>E. 1.1</w:t>
      </w:r>
    </w:p>
    <w:p>
      <w:r>
        <w:t>La ricorrente, contestualmente alla costituzione della società, avvenuto nel luglio del 2016, è stata assoggettata alle imposte dirette nel Canton __________. In virtù della decisione contestata, l’autorità fiscale ticinese ha rivendicato l’assoggettamento in considerazione del fatto che l’amministrazione effettiva è esercitata in Ticino, presso il domicilio del signor RI 1 – direttore con diritto di firma individuale e azionista unico – a Lugano, o in via sussidiaria presso il domicilio del signor RI 1 – membro del CdA con diritto di firma individuale – sempre a Lugano.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la RI 1 è una società costituita il 21 luglio 2016 e domiciliata in __________, a __________. In base all’estratto del registro di commercio del Canton __________, il direttore con diritto di firma individuale è il signor RI 1, mentre il signor RI 1 ricopre il ruolo di membro del Consiglio d’Amministrazione con diritto di firma individuale. 2.2. Dagli atti emerge come l’autorità fiscale, con scritto del 19 maggio 2017, abbia richiesto della documentazione a supporto dell’effettivo svolgimento di direzione e amministrazione societaria presso la sede statutaria a __________, in particolare di copia dei contratti di lavoro degli amministratori e del contratto di locazione, così da comprovare perlomeno l’esistenza di uffici propri nel luogo di sede. In base agli art. 200 cpv. 2 LT e 126 cpv. 2 LIFD, il contribuente deve fornire, a domanda dell’autorità di tassazione, informazioni orali e scritte e presentare libri contabili, giustificativi e altri estratti, come anche documenti concernenti le relazioni d’affari, così da consentire una tassazione completa ed esatta. Inoltre, come menzionato in precedenza, il Tribunale federale ha stabilito che in mancanza di importanti infrastrutture al luogo di sede, segnatamente uffici e personale, e se l’autorità fiscale rende molto verosimile l’assoggettamento in un altro cantone, allora incombe al contribuente l’onere della prova in relazione all’effettiva amministrazione alla sede statutaria. Si rileva che la RI 1, oltre a non aver dato seguito alle richieste di documentazione da parte dell’UT, violando pertanto l’obbligo di collaborazione ex art. 200 LT e 126 LIFD, non ha nemmeno portato alcuna altra prova dell’esistenza di un qualsiasi legame con il Canton __________, limitandosi ad affermare che la scelta di sede, operata da un “promotore italiano”, era da ricondurre a “tutta una serie di ragioni personali e strategiche, sulle quali non si può accettare alcuna interferenza da parte dell’autorità fiscale in un regime di libera concorrenza e di scelte imprenditoriali legittime”. In sostanza la ricorrente, non è stata in grado di comprovare l’esistenza di amministrazione effettiva a __________, né in sede di reclamo, né nel ricorso inoltrato alla Camera di diritto tributario, come invece le incombeva in virtù dell’onere della prova citato poc’anzi. Già solo per tale motivo il ricorso presentato dalla RI 1 deve essere respinto. 2.3. In ogni caso, anche volendo tralasciare la ripartizione dell’onere probatorio, si deve costatare che non vi sono elementi a supporto dell’effettiva amministrazione e direzione corrente nel Canton __________ e, al contrario, ve ne sono per il Canton Ticino. Innanzitutto va considerato come entrambi gli amministratori sono domiciliati in Ticino. RI 1, direttore con diritto di firma individuale, è residente in __________, a __________, mentre RI 1, membro del Consiglio d’Amministrazione con diritto di firma individuale, risiede in __________, a __________. Giova inoltre specificare come “l’azionista estero”, rispettivamente il “promotore italiano”, a cui la società fa riferimento nei propri scritti e che non avrebbe alcun legame con il Canton Ticino, è proprio il signor RI 1, che come visto risiede proprio a __________. D’altronde, è il signor RI 1 stesso ad esporre nell’elenco titoli allegato alla propria dichiarazione fiscale la partecipazione azionaria per una quota pari al 100% del capitale azionario nella RI 1. Di conseguenza, al contrario di quanto sostenuto dalla ricorrente, non solo gli amministratori, bensì pure l’azionariato è legato al Canton Ticino. Alla luce di quanto sopra, si può dunque concludere che nel Canton __________ vi è unicamente un recapito bucalettere presso l’indirizzo via __________, ciò che peraltro é avvalorato dal fatto che al medesimo indirizzo hanno sede altre 8 società. 2.4. Va poi ricordato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op. cit., n. 394, p. 131; Heilinger/ Maute, op. cit., p. 757; Jung, op. cit., p. 172).l Alla luce della citata giurisprudenza, il domicilio a __________ di RI 1 gioca perciò un ruolo particolarmente importante, siccome, ricoprendo l’incarico di direttore (e azionista) della RI 1, è la persona principalmente incaricata di svolgere l’amministrazione e la direzione corrente della società. 2.5. Ne consegue che l’amministrazione effettiva della RI 1 è esercitata in Ticino, presso il domicilio del signor RI 1 a __________. 3. Per quanto concerne la doppia imposizione intercantonale, che si verificherebbe in conseguenza della decisione di assoggettamento nel Canton Ticino a partire dall’anno 2016, quest’ultimo periodo fiscale già tassato dal Canton __________ in data 31 marzo 2017, la questione dovrebbe essere sottoposta all’autorità fiscale di quest’ultimo cantone o, tutt’al più, al Tribunale federale, mediante ricorso in materia di diritto pubblico per violazione del divieto di doppia imposizione garantito dall’art. 127 cpv. 3 Cost. A tale riguardo, il ricorso per doppia imposizione è ammesso solo contro decisioni emesse da un’autorità cantonale di ultima istanza, ma, allo stesso tempo è possibile impugnare una decisione di un altro cantone – anche già cresciuta in giudicato – sebbene non sia stata adottata da un’autorità di ultima istanza ( Locher , Introduzione al diritto fiscale intercantonale, Berna 2015, p. 138). L’atto di ricorso va diretto esplicitamente contro tutti i cantoni coinvolti. All’atto di ricorso deve essere allegata la decisione impugnata (art. 42 cpv. 3 LTF) ed a riguardo della formulazione di una richiesta di restituzione delle imposte, essa deve essere richiesta con sufficiente chiarezza, pure allegando una ricevuta degli importi pagati ( Locher , op. cit., p. 157).</w:t>
      </w:r>
    </w:p>
    <w:p>
      <w:r>
        <w:rPr>
          <w:b/>
        </w:rPr>
        <w:t>E. 4</w:t>
      </w:r>
    </w:p>
    <w:p>
      <w:r>
        <w:t>Il ricorso è respinto. La tassa di giustizia e le spese sono poste a carico dei ricorrenti soccombenti. Per questi motivi, visti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