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80.2016.90 vom 21. April 2016</w:t>
      </w:r>
    </w:p>
    <w:p>
      <w:r>
        <w:t>TI Tribunale d'appello, 2016-04-21, IT</w:t>
      </w:r>
    </w:p>
    <w:p>
      <w:r>
        <w:rPr>
          <w:b/>
        </w:rPr>
        <w:t xml:space="preserve">Quelle: </w:t>
      </w:r>
      <w:r>
        <w:t>https://mcp.opencaselaw.ch/entscheid/ti_gerichte_80.2016.90</w:t>
      </w:r>
    </w:p>
    <w:p>
      <w:r>
        <w:t>FR: TI_GERICHTE 80.2016.90 du 21 avril 2016</w:t>
      </w:r>
    </w:p>
    <w:p>
      <w:r>
        <w:t>IT: TI_GERICHTE 80.2016.90 del 21 aprile 2016</w:t>
      </w:r>
    </w:p>
    <w:p>
      <w:pPr>
        <w:pStyle w:val="Heading2"/>
      </w:pPr>
      <w:r>
        <w:t>Regeste</w:t>
      </w:r>
    </w:p>
    <w:p>
      <w:r>
        <w:t>Revisione: presupposti, doppia imposizione intercantonale, non per semplici differenze nella commisurazione del reddito e delle spese di manutenzione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2.1</w:t>
      </w:r>
    </w:p>
    <w:p>
      <w:r>
        <w:t>Nella fattispecie, come visto, la decisione impugnata ha dichiarato irricevibile lo scritto del 16 aprile 2016, con il quale il ricorrente chiedeva di “rivedere” la tassazione ticinese del 31 dicembre 2015 sulla base di quanto deciso successivamente dalle autorità fiscali del cantone di domicilio, considerandolo quale reclamo tardivo.</w:t>
      </w:r>
    </w:p>
    <w:p>
      <w:r>
        <w:rPr>
          <w:b/>
        </w:rPr>
        <w:t>E. 2.2</w:t>
      </w:r>
    </w:p>
    <w:p>
      <w:r>
        <w:t>Contro la decisione di tassazione il contribuente può reclamare per scritto all’autorità di tassazione, entro trenta giorni dalla notificazione (art. 206 cpv. 1 LT). A tale proposito, l’art. 192 cpv. 5 LT precisa che il termine di trenta giorni, stabilito dalla legge, è perentorio, essendo prevista una deroga solo quando esiste un motivo di restituzione in intero del termine, vale a dire quando è provato che l’inosservanza del termine è da attribuire a servizio militare o a servizio civile, a malattia, ad assenza dal cantone o ad altri gravi motivi riguardanti il contribuente o il suo rappresentante.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 La semplice ignoranza di norme giuridiche (in particolare di carattere procedurale) come pure un errore sulla loro portata non giustifica una restituzione dei termini, a meno che l’errore sia stato causato da un’informazione dell’autorità (cfr. la sentenza del Tribunale federale dell’11 maggio 2006 n. 2A.175/2006 consid. 2.2.2 e dottrina citata).</w:t>
      </w:r>
    </w:p>
    <w:p>
      <w:r>
        <w:rPr>
          <w:b/>
        </w:rPr>
        <w:t>E. 2.3</w:t>
      </w:r>
    </w:p>
    <w:p>
      <w:r>
        <w:t>La decisione contestata, nella misura in cui considera lo scritto del 16 aprile 2016 quale reclamo tardivo contro la decisione di tassazione del 31 dicembre 2015, è ineccepibile. La via del reclamo era indubbiamente esclusa, non avendo i contribuenti rispettato il termine perentorio di 30 giorni previsto dall’art. 206 LT e non avendo d’altra parte invocato nessun valido motivo di restituzione del termine di reclamo. A questo punto occorre però chiedersi se l’esito non cambierebbe se si volesse considerare lo scritto del 16 aprile 2016 quale richiesta di revisione della decisione di tassazione stessa, basata sulla successiva decisione di tassazione delle autorità fiscali del cantone di domicilio.</w:t>
      </w:r>
    </w:p>
    <w:p>
      <w:r>
        <w:rPr>
          <w:b/>
        </w:rPr>
        <w:t>E. 3.1</w:t>
      </w:r>
    </w:p>
    <w:p>
      <w:r>
        <w:t>Secondo l’art. 232 cpv. 1 LT, sono quattro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d) i conflitti in materia di doppia imposizione intercantonale o internazionale. Ciò che si verifica quando l’autorità che ha deciso giunge alla conclusione che, secondo le norme applicabili per evitare la doppia imposizione, il Cantone deve limitare il proprio diritto di imporre</w:t>
      </w:r>
    </w:p>
    <w:p>
      <w:r>
        <w:rPr>
          <w:b/>
        </w:rPr>
        <w:t>E. 3.2</w:t>
      </w:r>
    </w:p>
    <w:p>
      <w:r>
        <w:t>La revisione è tuttavia esclusa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w:t>
      </w:r>
    </w:p>
    <w:p>
      <w:r>
        <w:rPr>
          <w:b/>
        </w:rPr>
        <w:t>E. 5</w:t>
      </w:r>
    </w:p>
    <w:p>
      <w:r>
        <w:t>Il ricorso è conseguentemente respinto. Tassa di giustizia e spese processuali sono poste a carico del ricorrente, soccombente. Per questi motivi, visto per le spese l’art. 231 LT dichiara e pronuncia 1.   Il ricorso è respinto . 2.   Le spese processuali consistenti: a. nella tassa di giustizia di                                fr.    300.– b. nelle spese di cancelleria di complessivi    fr.      80.– per un totale di                                                      fr.    380.– sono a carico del ricorrente. 3.   Contro il presente giudizio è dato ricorso in materia di diritto pubblico al Tribunale federale in Losanna, entro 30 giorni (art. 73 LAID; art. 82 ss. LTF). 4.   Intimazione a: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