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80.2016.78 vom 9. März 2016</w:t>
      </w:r>
    </w:p>
    <w:p>
      <w:r>
        <w:t>TI Tribunale d'appello, 2016-03-09, IT</w:t>
      </w:r>
    </w:p>
    <w:p>
      <w:r>
        <w:rPr>
          <w:b/>
        </w:rPr>
        <w:t xml:space="preserve">Quelle: </w:t>
      </w:r>
      <w:r>
        <w:t>https://mcp.opencaselaw.ch/entscheid/ti_gerichte_80.2016.78</w:t>
      </w:r>
    </w:p>
    <w:p>
      <w:r>
        <w:t>FR: TI_GERICHTE 80.2016.78 du 9 mars 2016</w:t>
      </w:r>
    </w:p>
    <w:p>
      <w:r>
        <w:t>IT: TI_GERICHTE 80.2016.78 del 9 marzo 2016</w:t>
      </w:r>
    </w:p>
    <w:p>
      <w:pPr>
        <w:pStyle w:val="Heading2"/>
      </w:pPr>
      <w:r>
        <w:t>Regeste</w:t>
      </w:r>
    </w:p>
    <w:p>
      <w:r>
        <w:t>Reddito dell’attività lucrativa indipendente: commercio professionale di immobili, acquisto di una casa e rivendita dopo otto mesi, finanziamento di terzi, intervento di un garante</w:t>
      </w:r>
    </w:p>
    <w:p>
      <w:pPr>
        <w:pStyle w:val="Heading2"/>
      </w:pPr>
      <w:r>
        <w:t>Erwägungen</w:t>
      </w:r>
    </w:p>
    <w:p>
      <w:r>
        <w:rPr>
          <w:b/>
        </w:rPr>
        <w:t>E. 1</w:t>
      </w:r>
    </w:p>
    <w:p>
      <w:r>
        <w:t>nel caso in disamina si sarebbe confrontati ad una semplice ristrutturazione della villa esistente, che già disponeva di due appartamenti, del quale uno era locato a __________ (della quale egli è amministratore unico ed anche azionista unico) ed era la sua dimora dal 2.6.2008. L’acquisto della villa sarebbe inoltre avvenuto in comproprietà con l’avv. __________, assunto come il contribuente non disponeva di tutti i capitali necessari per finalizzare l’operazione. Divergenze in seno alla tipologia di ristrutturazione e ai relativi costi avrebbero portato ad una scissione del progetto in comproprietà e condotto alla pressoché subitanea vendita del fondo nr. __________ RFD __________. Il ricorrente precisa inoltre di come si fosse già occupato in precedenza – quale intermediatore - di compravendite immobiliari ma unicamente per il tramite della società di cui è amministratore unico ed azionista unico, ossia la __________. In tal senso, l’operazione relativa al mapp. __________ RFD di __________ era stata compiuta a titolo personale poiché non pensata per una speculazione immobiliare. Diritto</w:t>
      </w:r>
    </w:p>
    <w:p>
      <w:r>
        <w:rPr>
          <w:b/>
        </w:rPr>
        <w:t>E. 1.1</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1.2</w:t>
      </w:r>
    </w:p>
    <w:p>
      <w:r>
        <w:t>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pag. 14; Soldini , Il commercio professionale di immobili alla luce della giurisprudenza federale e cantonale e nella prospettiva della nuova Legge tributaria, in RDAT I-1994 pag.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TF 2A.37/2004 del 25.3.2004 consid. 2.1.).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1.3</w:t>
      </w:r>
    </w:p>
    <w:p>
      <w:r>
        <w:t>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2ª ediz., Basilea 2008, n. 16 ad art. 18 LIFD; Noël , in Yersin/Noël [a cura di], Commentaire de la loi sur l’impôt fédéral direct, Basilea 2008, n. 15 ad art. 18 LIFD; Oberson , Droit fiscal suisse, 3ª ediz., Basilea 2007, pag.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w:t>
      </w:r>
    </w:p>
    <w:p>
      <w:r>
        <w:rPr>
          <w:b/>
        </w:rPr>
        <w:t>E. 1.4</w:t>
      </w:r>
    </w:p>
    <w:p>
      <w:r>
        <w:t>Il Tribunale federale ha ricordato, a più riprese, che anche una sola operazione immobiliare può costituire un commercio professionale d’immobili se vi è chiara intenzione di realizzare un reddito (StE 2004 B 91.3 N.4, RDAF 2005 II 37; DTF 125 II 113, ASA 67, 644, RDAF 1999 II 385; cfr. anche Noël , op. cit. ad art. 18 n.18).</w:t>
      </w:r>
    </w:p>
    <w:p>
      <w:r>
        <w:rPr>
          <w:b/>
        </w:rPr>
        <w:t>E. 2.1</w:t>
      </w:r>
    </w:p>
    <w:p>
      <w:r>
        <w:t>I fatti determinanti per il caso in disamina possono così essere ritenuti: · con rogito notarile del 6.4.2009 (istanza di iscrizione di compravendita del 6.5.2009) __________ ha venduto il mapp. __________ RFD di __________ ad RI 1 (in ragione di ¾) e all’avv. __________ (per ¼) al prezzo di fr. 1'800'000.--; · l’acquisto del mapp. __________ RFD di __________ è stato integralmente finanziato mediante credito erogato dalla __________ di pari valore di acquisto. A garanzia del medesimo sono stati costituiti in pegno averi e depositi di pertinenza dell’avv__________. In un secondo momento si sarebbero dovute costituire in pegno fr. 1'440'000.-- di cartelle ipotecarie gravanti il fondo mapp. __________ RFD di __________, la polizza incendio e danni delle acque, nonché averi e depositi di pertinenza dell’avv. __________ in ragione di fr. 360'000.-- (ossia il 20% dell’importo erogato); · con rogito notarile 17.12.2009 (istanza di iscrizione della compravendita dell’11/12.1.2010) RI 1 e l’avv. __________ hanno venduto il mapp. __________ RFD __________ a __________ e __________ al prezzo di fr. 2'900'000.--; · con decisione su reclamo relativa all’imposta sugli utili immobiliari, l’Ufficio di tassazione di __________ ha commisurato l’utile imponibile totale in fr. 845'978.-- ed ha posto a carico di RI 1 un’imposta di fr. 196'689.90. La durata della proprietà è stata di 8 mesi e 5 giorni e l’aliquota d’imposta fissata al 31%.</w:t>
      </w:r>
    </w:p>
    <w:p>
      <w:r>
        <w:rPr>
          <w:b/>
        </w:rPr>
        <w:t>E. 2.2</w:t>
      </w:r>
    </w:p>
    <w:p>
      <w:r>
        <w:t>Nel caso concreto vi è tutta una serie di indizi che conduce que-sta Camera a ritenere come nel caso concreto non ci si trovi di-nanzi ad una mera amministrazione del patrimonio privato, ma come al contrario l’operazione immobiliare in discussione possa essere qualificata come commercio professionale d’immobili. a. Brevità della durata del possesso dell’immobile Nel caso di specie la durata del possesso è stata molto breve: di appena 8 mesi e di 5 giorni. b. Esistenza di legami tra l’operazione immobiliare e l’attività professionale del contribuente Come si evince anche dall’esposto ricorsuale il contribuente è amministratore unico e azionista unico di __________. Egli, per il periodo fiscale 2010, ha percepito da questa società un salario lordo netto pari a fr. 46'963.-- quale dipendente. Scopo di __________ (v. sito internet www.zefix.ch , consultato il 14.9.2016), è la prestazione di consulenza e lo svolgimento di ogni attività inerente le pubbliche relazioni, il marketing e la pubblicità in ogni settore dell’attività commerciale e privata. La società può occuparsi della promozione e della vendita di merci e servizi, nonché acquistare partecipazioni e concedere finanziamenti. La società può acquistare immobili all’estero. Nell’impugnativa il contribuente ha poi esposto in maniera articolata (v. in particolare il punto 3 del ricorso, p. 3) di occuparsi di commercio professionale di immobili tramite __________ e di fare da intermediatore per operazioni immobiliari, percependo le relative provvigioni. Ne riportava per l’appunto due a titolo esemplificativo (posteriori comunque al periodo fiscale interessato). Si evince quindi come dallo stesso tenore del ricorso, l’attività professionale esercitata da RI 1 sia – almeno parzialmente – quella dell’intermediatore immobiliare. Vi è quindi una chiara esistenza di legami tra l’operazione immobiliare, tipica dell’attività lavorativa svolta dal contribuente, attivo proprio nell’ambito del commercio a titolo professionale d’immobili. c. Conoscenze professionali proprie o di terzi Come risulta dal precedente indizio, emerge come RI 1 sia attivo, per il tramite di __________ nell’ambito del commercio a titolo professionale d’immobili.                                         L’operazione immobiliare relativa al fondo __________ RFD di __________ non risulta essere differente rispetto alle transazioni di cui si occupa solitamente __________. d. Partecipazione ad una società di persone Nel caso sottoposto a disamina RI 1 e l’avv. __________ hanno acquistato in comproprietà il mapp. __________ RFD di __________. RI 1, onde poter divenire proprietario di ¾ dell’immobile si è appoggiato alla posizione dell’avv. __________, il quale ha funto da garante per tutto il debito ipotecario acceso presso la banca che ha erogato il credito per l’acquisto. e. Uso di notevoli crediti L’acquisto del mapp. __________ RFD __________ è stato interamente finanziato tramite credito ipotecario erogato da __________, come risulta dai giustificativi allegati alla dichiarazione di tassazione per il periodo fiscale 2009 (cfr. allegato nr. 4).</w:t>
      </w:r>
    </w:p>
    <w:p>
      <w:r>
        <w:rPr>
          <w:b/>
        </w:rPr>
        <w:t>E. 2.3.1</w:t>
      </w:r>
    </w:p>
    <w:p>
      <w:r>
        <w:t>Si può quindi affermare come con l’operazione immobiliare in causa, il ricorrente abbia oltrepassato la mera amministrazione del suo patrimonio e abbia sfruttato il mercato immobiliare alla stregua di un commerciante professionale, nell’intento di realizzare un profitto. Significativo il fatto che, per poter realizzare la transazione si sia appoggiato unicamente su fondi e garanzie di terzi traendone personalmente un notevole profitto.</w:t>
      </w:r>
    </w:p>
    <w:p>
      <w:r>
        <w:rPr>
          <w:b/>
        </w:rPr>
        <w:t>E. 2.3.2</w:t>
      </w:r>
    </w:p>
    <w:p>
      <w:r>
        <w:t>La dottrina ha ricordato come l’importanza dei guadagni conseguiti, non deve in nessun caso costituire un indizio a favore dell’attività lucrativa indipendente. Tuttavia nel caso concreto, ritenuti tutti gli indizi sopra menzionati e posto come il profitto c’è stato e di notevole rilevanza si può concludere che l’operazione immobiliare di acquisto e di vendita del mapp. __________ RFD di __________ conclusa dal contribuente resistente, sia da designare come commercio a titolo professionale d’immobili, ed il relativo provento deve pertanto essere considerato reddito dell’attività lucrativa indipendente.</w:t>
      </w:r>
    </w:p>
    <w:p>
      <w:r>
        <w:rPr>
          <w:b/>
        </w:rPr>
        <w:t>E. 3</w:t>
      </w:r>
    </w:p>
    <w:p>
      <w:r>
        <w:t>Il ricorso è respinto. La tassa di giustizia e le spese sono poste a carico dell’insorgente, soccombente. Per questi motivi, visti per le spese l’art. 144 LIFD dichiara e pronuncia 1.   Il ricorso è respinto . 2.   Le spese processuali consistenti: a. nella tassa di giustizia di                                fr. 3’000.– b. nelle spese di cancelleria di complessivi    fr.   100 .– per un totale di                                                      fr. 3’100.– sono a carico del ricorrente. 3.   Contro il presente giudizio è dato ricorso in materia di diritto pubblico al Tribunale federale in Losanna, entro 30 giorni (art. 146 LIFD; art. 73 LAID; art. 82 ss. LTF). 4.   Intimazione a: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