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80.2016.205 vom 13. Juli 2016</w:t>
      </w:r>
    </w:p>
    <w:p>
      <w:r>
        <w:t>TI Tribunale d'appello, 2016-07-13, IT</w:t>
      </w:r>
    </w:p>
    <w:p>
      <w:r>
        <w:rPr>
          <w:b/>
        </w:rPr>
        <w:t xml:space="preserve">Quelle: </w:t>
      </w:r>
      <w:r>
        <w:t>https://mcp.opencaselaw.ch/entscheid/ti_gerichte_80.2016.205</w:t>
      </w:r>
    </w:p>
    <w:p>
      <w:r>
        <w:t>FR: TI_GERICHTE 80.2016.205 du 13 juillet 2016</w:t>
      </w:r>
    </w:p>
    <w:p>
      <w:r>
        <w:t>IT: TI_GERICHTE 80.2016.205 del 13 luglio 2016</w:t>
      </w:r>
    </w:p>
    <w:p>
      <w:pPr>
        <w:pStyle w:val="Heading2"/>
      </w:pPr>
      <w:r>
        <w:t>Regeste</w:t>
      </w:r>
    </w:p>
    <w:p>
      <w:r>
        <w:t>Reddito dell'attività lucrativa indipendente: commercio quasi professionale di immobili, acquisto di un terreno e suo frazionamento, vendita con progetto di costruzione, direzione lavori per conto dei compratori</w:t>
      </w:r>
    </w:p>
    <w:p>
      <w:pPr>
        <w:pStyle w:val="Heading2"/>
      </w:pPr>
      <w:r>
        <w:t>Erwägungen</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TF 2A.37/2004 del 25.3.2004 consid. 2.1.).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1.4</w:t>
      </w:r>
    </w:p>
    <w:p>
      <w:r>
        <w:t>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Noël , op. cit. ad art. 18 n.18).</w:t>
      </w:r>
    </w:p>
    <w:p>
      <w:r>
        <w:rPr>
          <w:b/>
        </w:rPr>
        <w:t>E. 2.1</w:t>
      </w:r>
    </w:p>
    <w:p>
      <w:r>
        <w:t>I fatti determinanti per la seguente fattispecie sono i seguenti: · 2.12.2009: acquisto mapp. __________ RFD __________ ( terreno non edificato ); · 12.3.2010: acquisto mapp. __________ RFD __________ (1/2 RI 2; 1/2 RI 1); · 25.10.2010: frazionamento del mapp. __________ RFD __________. Il mapp. __________ RFD __________ è divenuto di mq 586; · 25.10.2010: costituzione del mapp. __________ RFD __________ (di mq 432); · 26.1.2011: vendita mapp. __________ RFD __________ (utile imponibile totale di fr. 47'000.--; durata del possesso 10 mesi e 14 giorni; aliquota del 31%); · dal 28.2.2011 pagamenti in favore di RI 2 a titolo di “acconto onorari” per la costruzione del mapp. __________ RFD __________;</w:t>
      </w:r>
    </w:p>
    <w:p>
      <w:r>
        <w:rPr>
          <w:b/>
        </w:rPr>
        <w:t>E. 2.2</w:t>
      </w:r>
    </w:p>
    <w:p>
      <w:r>
        <w:t>Dal ricorso 12/16.8.2016 emerge: “L’unico beneficio commerciale che ha avuto l’architetto RI 2 è stato quello per cui l’acquirente del mapp. __________ le ha affidato il mandato di progettazione e DL per la costruzione della sua casa”.</w:t>
      </w:r>
    </w:p>
    <w:p>
      <w:r>
        <w:rPr>
          <w:b/>
        </w:rPr>
        <w:t>E. 3.1</w:t>
      </w:r>
    </w:p>
    <w:p>
      <w:r>
        <w:t>Nel caso in disamina vi è una serie di indizi che a giudizio di questa Camera fondano l’esistenza di un commercio a titolo professionale d’immobili imponibile fiscalmente. a. Brevità del possesso dell’immobile Il mapp. __________ RFD Stabio è stato in possesso diRI 1 e di RI 2 per 11 mesi. L’aliquota applicata per la decisione di tassazione era del 31%. b. Esistenza di legami tra l’operazione immobiliare e l’attività professionale del contribuente RI 2 di professione è architetto. In sede ricorsuale gli insorgenti hanno precisato che l’unico beneficio commerciale che ha avuto RI 2 è stato quello per cui l’acquirente del mapp. __________ RFD __________ le ha affidato il mandato di progettazione e di direzione lavori per la costruzione della sua casa. Gli onorari ricevuti sono stati debitamente dichiarati e tassati. Secondo i ricorrenti non esisterebbe alcun nesso tra la compravendita immobiliare il contratto concluso con RI 2. Questa Camera ha tuttavia potuto accertare come sulla base della documentazione trasmessa dall’UT i committenti (ossia gli acquirenti del mapp. __________ RFD __________) avevano aperto un “conto costruzione” presso __________ almeno dal 24.1.2011 (ossia prima del iscrizione a RF del trapasso di proprietà) e come in tale data vi è stato il primo trasferimento di fr. 328'160.-- (prezzo del fondo) sul conto del notaio rogante indicato nell’istromento pubblico e di come di seguito sono riportati tutti i trasferimenti di denaro e acconti agli artigiani, ivi compresi gli acconti versati a RI 2 dell’ordine di più di fr. 100'000.- per il solo 2011 (28.2.2011: fr. 41'100.--; 6.6.2011: fr. 30'000.--; 17.10.2011: fr. 30'000.--). È quindi difficile ipotizzare che la Banca, in assenza di un progetto di costruzione (se non anche di una licenza edilizia) eroghi un credito di costruzione. La vendita del fondo in questione e la progettazione dell’edificio sono strettamente connesse, tanto è vero che l’operazione immobiliare ha portato lavoro, per il 2011 alla contribuente. Secondo la giurisprudenza del Tribunale federale il fatto che un contribuente abbia acquistato un fondo allo scopo di procurare lavoro per la sua impresa, e per poi rivenderlo edificato, se possibile conseguendo un utile, fa sì che l’immobile rientri nella sua sostanza commerciale, in considerazione della stretta relazione tra l’immobile e l’attività principale del contribuente (cfr. p. es. la sentenza dell’8 gennaio 1999, in DTF 125 II 113 = ASA 67 p. 644 = RF 54/1999 p. 327 = RDAF 1999 II 385, consid. 6b). Vi è quindi un indiscutibile legame tra la professione di e l’operazione immobiliare sub judice . c. Conoscenze professionali proprie o di terzi Come visto anche per la condizione precedente, l’operazione immobiliare in questione è strettamente legata alla professione esercitata da RI 2, la quale oltre che essere per metà venditrice del mapp. __________ RFD __________ ha anche funto da progettista e ha assunto la direzione lavori dell’edificio che è stato costruito. d. Frazionamento e vendita della porzione di terreno più grande del mapp. __________ RFD __________. A titolo abbondanziale va anche rilevato che, a seguito del frazionamento dell’originario mapp. __________ RFD __________, è stata venduta la porzione di terreno più grande. Anche questo fatto concorre a ritenere un carattere speculativo dell’operazione.</w:t>
      </w:r>
    </w:p>
    <w:p>
      <w:r>
        <w:rPr>
          <w:b/>
        </w:rPr>
        <w:t>E. 3.2</w:t>
      </w:r>
    </w:p>
    <w:p>
      <w:r>
        <w:t>Tutto ben ponderato emerge come l’operazione di vendita del mapp. __________ RFD __________ sia riconducibile all’esercizio di un’attività lucrativa indipendente e ciò in relazione all’edificazione di tale mappale, eseguita sotta la direzione e progettazione della contribuente la quale ha ricevuto, per il periodo fiscale sub judice , almeno fr. 100'000.-- di onorario. Come visto, secondo la giurisprudenza dell’Alta Corte anche una sola operazione immobiliare ed anche un solo indizio di quelli evocati possono condurre all’esistenza di un commercio a titolo professionale d’immobili. Nel caso concreto, l’UT ha rettamente ritenuto un reddito aggiuntivo per l’imposta federale diretta in connessione con la vendita del mapp. __________ RFD __________. Il fatto che il terreno sia stato venduto ad un prezzo “congruo”, cioè senza conseguire un utile in sé speculativo, e che l’utile netto dell’operazione dell’ordine di fr. 18'805.85 – secondo quanto calcolato dai contribuenti – sarebbe stato di poco conto, nulla muta alla configurazione fiscale dell’operazione. Ciò che è determinante è, come già rilevato, lo stretto legame fra l’immobile e l’attività lucrativa indipendente della ricorrente, che induce a qualificare l’immobile venduto come un bene commerciale. Il prezzo “congruo” del terreno è giustificato dal contratto sorto tra le parti che ha ingenerato, come ribadito prima, onorari per prestazioni da architetto di almeno fr. 100'000.-- per il solo 2011.</w:t>
      </w:r>
    </w:p>
    <w:p>
      <w:r>
        <w:rPr>
          <w:b/>
        </w:rPr>
        <w:t>E. 4</w:t>
      </w:r>
    </w:p>
    <w:p>
      <w:r>
        <w:t>Il ricorso è respinto. La tassa di giustizia e le spese sono poste a carico di RI 2 e RI 1, soccombenti. Per questi motivi, visto per le spese l’art. 144 LIFD dichiara e pronuncia 1.   Il ricorso è respinto . 2.   Le spese processuali consistenti: a. nella tassa di giustizia di                                fr.    800.– b. nelle spese di cancelleria di complessivi    fr.    100.– per un totale di                                                      fr.    900.– sono a carico dei ricorrenti. 3.   Contro il presente giudizio è dato ricorso in materia di diritto pubblico al Tribunale federale in Losanna, entro 30 giorni (art. 146 LIFD; art. 82 ss LTF). 4.   Intimazione a: - (per sé e per RI 2 e RI 1);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