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80.2016.166 vom 6. Juni 2016</w:t>
      </w:r>
    </w:p>
    <w:p>
      <w:r>
        <w:t>TI Tribunale d'appello, 2016-06-06, IT</w:t>
      </w:r>
    </w:p>
    <w:p>
      <w:r>
        <w:rPr>
          <w:b/>
        </w:rPr>
        <w:t xml:space="preserve">Quelle: </w:t>
      </w:r>
      <w:r>
        <w:t>https://mcp.opencaselaw.ch/entscheid/ti_gerichte_80.2016.166</w:t>
      </w:r>
    </w:p>
    <w:p>
      <w:r>
        <w:t>FR: TI_GERICHTE 80.2016.166 du 6 juin 2016</w:t>
      </w:r>
    </w:p>
    <w:p>
      <w:r>
        <w:t>IT: TI_GERICHTE 80.2016.166 del 6 giugno 2016</w:t>
      </w:r>
    </w:p>
    <w:p>
      <w:pPr>
        <w:pStyle w:val="Heading2"/>
      </w:pPr>
      <w:r>
        <w:t>Regeste</w:t>
      </w:r>
    </w:p>
    <w:p>
      <w:r>
        <w:t>Violazione degli obblighi procedurali: obbligo di inoltrare la dichiarazione per tutti i “potenziali” contribuenti, persona domiciliata in un altro cantone ma proprietaria di un immobile gravato da usufrutto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 ediz., Basilea 2008, n. 1 e 2 ad art. 122 LIFD, p. 259); -   per il fatto che la ricorrente è proprietaria di un immobile nel Canton Ticino, e come tale adempie i presupposti dell’assoggetta-mento limitato (appartenenza economica) nel Canton Ticino, è stata correttamente iscritta nel registro dei contribuenti ed obbligata ad inoltrare la dichiarazione d’imposta; -   visto l’esito del ricorso, tassa di giustizia e spese processuali sono a carico della ricorrente, soccombente. Per questi motivi, visti per le spese gli art. 144 LIFD e 231 LT dichiara e pronuncia 1.   Il ricorso è respinto . 2.   Le spese processuali consistenti: a. nella tassa di giustizia di                                fr.    100.– b. nelle spese di cancelleria di complessivi    fr.      80.– per un totale di                                                      fr.    180.– sono a carico della ricorrente. 3.   Contro il presente giudizio è dato ricorso in materia di diritto pubblico al Tribunale federale in Losanna, entro 30 giorni (art. 146 LIFD; art. 73 LAID; art. 82 ss. LTF). 4.   Intimazione a: -; -; -; -. per la Camera di diritto tributario del Tribunale d’appello Il presidente: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