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80.2016.14 vom 16. Dezember 2015</w:t>
      </w:r>
    </w:p>
    <w:p>
      <w:r>
        <w:t>TI Tribunale d'appello, 2015-12-16, IT</w:t>
      </w:r>
    </w:p>
    <w:p>
      <w:r>
        <w:rPr>
          <w:b/>
        </w:rPr>
        <w:t xml:space="preserve">Quelle: </w:t>
      </w:r>
      <w:r>
        <w:t>https://mcp.opencaselaw.ch/entscheid/ti_gerichte_80.2016.14</w:t>
      </w:r>
    </w:p>
    <w:p>
      <w:r>
        <w:t>FR: TI_GERICHTE 80.2016.14 du 16 décembre 2015</w:t>
      </w:r>
    </w:p>
    <w:p>
      <w:r>
        <w:t>IT: TI_GERICHTE 80.2016.14 del 16 dicembre 2015</w:t>
      </w:r>
    </w:p>
    <w:p>
      <w:pPr>
        <w:pStyle w:val="Heading2"/>
      </w:pPr>
      <w:r>
        <w:t>Regeste</w:t>
      </w:r>
    </w:p>
    <w:p>
      <w:r>
        <w:t>Reddito dell’attività lucrativa indipendente: commercio professionale di immobili, acquisto di quattro terreni e rivendita di tre di essi entro due anni, finanziamento di terzi</w:t>
      </w:r>
    </w:p>
    <w:p>
      <w:pPr>
        <w:pStyle w:val="Heading2"/>
      </w:pPr>
      <w:r>
        <w:t>Erwägungen</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TF 2A.37/2004 del 25.3.2004 consid. 2.1.).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2.1</w:t>
      </w:r>
    </w:p>
    <w:p>
      <w:r>
        <w:t>Venendo al caso in esame, gli insorgenti contestano l’imposizione del reddito da attività accessoria di RI 1, stimato in fr. 194'692.- da parte del fisco. In particolare, i ricorrenti ritengono che la vendita immobiliare litigiosa non si possa annoverare tra le casistiche imputabili al commercio a titolo professionale d’immobili, essendo l’acquisto di tutte le particelle, avvenuto nel 2011, dettato più dal caso e dalla necessità che da speculazioni commerciali. Inoltre, il mancato raggiungimento, da parte della sua società, degli utili auspicati, avrebbe imposto ad RI 1 di liberarsi degli appezzamenti di terreno divenuti inutili e non necessari ai fini dell’ampliamento della sua attività. Di qui la vendita dei mappali acquisiti nel 2011.</w:t>
      </w:r>
    </w:p>
    <w:p>
      <w:r>
        <w:rPr>
          <w:b/>
        </w:rPr>
        <w:t>E. 2.2</w:t>
      </w:r>
    </w:p>
    <w:p>
      <w:r>
        <w:t>Come stabilisce la giurisprudenza del Tribunale federale, un’analisi del caso concreto si rivela necessaria per risolvere la questione. I contribuenti hanno acquistato, rispettivamente ven-duto, nel corso degli anni, più proprietà immobiliari nel Cantone Ticino. Quella relativa al mappale __________ RFD __________ risulta essere la prima particella venduta del pacchetto iniziale di 4 fondi acquistati nel 2011.</w:t>
      </w:r>
    </w:p>
    <w:p>
      <w:r>
        <w:rPr>
          <w:b/>
        </w:rPr>
        <w:t>E. 2.3</w:t>
      </w:r>
    </w:p>
    <w:p>
      <w:r>
        <w:t>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Nöel , op. cit. ad art. 18 n.18).</w:t>
      </w:r>
    </w:p>
    <w:p>
      <w:r>
        <w:rPr>
          <w:b/>
        </w:rPr>
        <w:t>E. 2.4</w:t>
      </w:r>
    </w:p>
    <w:p>
      <w:r>
        <w:t>I fatti salienti inerenti all’acquisto ed alla vendita delle proprietà immobiliari possono così essere riassunti: · il 30.12.2011 RI 1 ha acquistato da __________ i fondi __________, __________, __________ e __________ RFD __________ al prezzo di complessivi fr. 1'250'000.-; · il 26.3.2013 RI 1 ha venduto il mapp. __________ RFD __________ a __________, dopo averlo avuto in proprietà per 1 anno, 2 mesi e 27 giorni (aliquota d’imposta sugli utili immobiliari del 30%), al prezzo di fr. 480'000.-, a fronte del valore di acquisto di fr. 280'000.-; · il 26.3.2014 RI 1 ha venduto il map. __________ RFD __________ a __________, dopo averlo avuto in proprietà per 2 anni, 2 mesi e 27 giorni (aliquota d’imposta sugli utili immobiliari del 29%), al prezzo di fr. 1'150'000.- a fronte del valore di acquisto di fr. 750'000.-; · il 18.4.2014 RI 1 ha venduto il mapp. __________ RFD __________ a __________, dopo averlo avuto in proprietà per 2 anni, 3 mesi e 19 giorni (aliquota d’imposta sugli utili immobiliari del 29%), al prezzo di fr. 250'000.- a fronte del valore di acquisti di fr. 83'500.--.</w:t>
      </w:r>
    </w:p>
    <w:p>
      <w:r>
        <w:rPr>
          <w:b/>
        </w:rPr>
        <w:t>E. 2.5</w:t>
      </w:r>
    </w:p>
    <w:p>
      <w:r>
        <w:t>L’operazione di acquisto delle quattro particelle ubicate a __________, nel 2011 è stata intermente finanziata facendo capo a capitale di terzi, in casu la __________ (v. istromento notarile del 30.12.2011 del notaio avv. __________; ricorso 16.1.2016, p. 2). Al 31.12.2013 l’importo del debito del contribuente nei confronti della banca ammontava a fr. 968'920.- (per i fondi __________, __________, __________ RFD __________).</w:t>
      </w:r>
    </w:p>
    <w:p>
      <w:r>
        <w:rPr>
          <w:b/>
        </w:rPr>
        <w:t>E. 2.6</w:t>
      </w:r>
    </w:p>
    <w:p>
      <w:r>
        <w:t>Nel caso concreto vi è tutta una serie di indizi che conducono questa Camera a ritenere come nel caso concreto non ci si trovi dinanzi ad una mera amministrazione del patrimonio privato, ma come al contrario le operazioni immobiliari in discussione possano essere qualificate commercio professionale d’immobili. a. La sistematicità e la frequenza delle operazioni immobiliari Nel caso di specie si ha – nel suo insieme – nell’arco temporale di circa 2,5 anni una serie di 4 operazioni immobiliari. Per il periodo fiscale 2013 – e rilevanti ai fini del giudizio – si devono di per sé tenere in considerazione due operazioni immobiliari: una a fine 2011 e l’altra a 2013 appena iniziato. L’operazione del 2013 ha rapportato un profitto notevole al contribuente, il quale ha potuto vendere l’immobile acquistato solo un paio d’anni prima a quasi fr. 200'000.- in più. b. La corta durata della proprietà sugli immobili compravenduti RI 1 è stato proprietario del mapp. __________ RFD __________ solamente per 1 anno, 2 mesi e 27 giorni [l’aliquota per l’imposta cantonale sugli utili immobiliari è stata del 30%]. c. Finanziamento della costruzione dell’immobile con capitali di terzi L’intera operazione di acquisto è stata finanziata tramite fondi di terzi.</w:t>
      </w:r>
    </w:p>
    <w:p>
      <w:r>
        <w:rPr>
          <w:b/>
        </w:rPr>
        <w:t>E. 2.7</w:t>
      </w:r>
    </w:p>
    <w:p>
      <w:r>
        <w:t>Come visto, secondo la giurisprudenza dell’Alta Corte anche in presenza di un solo indizio e valutata la fattispecie si può concludere per l’esistenza di un commercio a titolo professionale d’immobili. Nella disamina del caso sottoposto a giudizio emergono tutta una serie di indizi – quelli evocati al considerando 2.6. – che permettono a questa Corte di concludere che il contribuente abbia oltrepassato i limiti della mera amministrazione della sostanza privata, ciò che giustifica l’assoggettamento del relativo utile all’imposta federale diretta, quale reddito dell’attività lucrativa indipendente. Nel quadro descritto, non basta certamente l’affermazione degli insorgenti, di aver dovuto acquistare tutti e quattro i fondi a causa della pretesa dei venditori di cederli insieme, ad escludere il carattere “quasi professionale” dell’operazione. Gli stessi contribuenti definiscono del resto “ottima” l’offerta che gli è stata fatta dai venditori, al punto che “ha fatto pensare ad un buon investimento in ottica futura”.</w:t>
      </w:r>
    </w:p>
    <w:p>
      <w:r>
        <w:rPr>
          <w:b/>
        </w:rPr>
        <w:t>E. 2.8</w:t>
      </w:r>
    </w:p>
    <w:p>
      <w:r>
        <w:t>Ne discende pertanto come la decisione su reclamo per l’IFD 2013 deve essere confermata, essendo la transazione immobiliare conclusa in questo periodo designabile come commercio a titolo professionale d’immobili. I relativi proventi devono pertanto essere considerati quali redditi dell’attività lucrativa indipendente.</w:t>
      </w:r>
    </w:p>
    <w:p>
      <w:r>
        <w:rPr>
          <w:b/>
        </w:rPr>
        <w:t>E. 3</w:t>
      </w:r>
    </w:p>
    <w:p>
      <w:r>
        <w:t>Il ricorso è respinto. La tassa di giustizia e le spese sono poste a carico degli insorgenti, soccombenti. Per questi motivi, visti per le spese gli art. 144 LIFD dichiara e pronuncia 1.   Il ricorso è respinto . 2.   Le spese processuali consistenti: a. nella tassa di giustizia di                                fr. 2’000.– b. nelle spese di cancelleria di complessivi    fr     200.– per un totale di                                                      fr. 2’200.– sono a carico dei ricorrenti. 3.   Contro il presente giudizio è dato ricorso in materia di diritto pubblico al Tribunale federale in Losanna, entro 30 giorni (art. 146 LIFD; art. 82 ss. LTF). 4.   Intimazione a: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