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80.2014.6 vom 26. Juni 2013</w:t>
      </w:r>
    </w:p>
    <w:p>
      <w:r>
        <w:t>TI Tribunale d'appello, 2013-06-26, IT</w:t>
      </w:r>
    </w:p>
    <w:p>
      <w:r>
        <w:rPr>
          <w:b/>
        </w:rPr>
        <w:t xml:space="preserve">Quelle: </w:t>
      </w:r>
      <w:r>
        <w:t>https://mcp.opencaselaw.ch/entscheid/ti_gerichte_80.2014.6_d20130626</w:t>
      </w:r>
    </w:p>
    <w:p>
      <w:r>
        <w:t>FR: TI_GERICHTE 80.2014.6 du 26 juin 2013</w:t>
      </w:r>
    </w:p>
    <w:p>
      <w:r>
        <w:t>IT: TI_GERICHTE 80.2014.6 del 26 giugno 2013</w:t>
      </w:r>
    </w:p>
    <w:p>
      <w:pPr>
        <w:pStyle w:val="Heading2"/>
      </w:pPr>
      <w:r>
        <w:t>Regeste</w:t>
      </w:r>
    </w:p>
    <w:p>
      <w:r>
        <w:t>Reddito dell’attività lucrativa indipendente: obblighi di collaborazione, contabilità inattendibile, costi privati nel conto economico, determinazione del reddito per apprezzamento</w:t>
      </w:r>
    </w:p>
    <w:p>
      <w:pPr>
        <w:pStyle w:val="Heading2"/>
      </w:pPr>
      <w:r>
        <w:t>Erwägungen</w:t>
      </w:r>
    </w:p>
    <w:p>
      <w:r>
        <w:rPr>
          <w:b/>
        </w:rPr>
        <w:t>E. 1.1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w:t>
      </w:r>
    </w:p>
    <w:p>
      <w:r>
        <w:rPr>
          <w:b/>
        </w:rPr>
        <w:t>E. 1.2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2.1</w:t>
      </w:r>
    </w:p>
    <w:p>
      <w:r>
        <w:t>Il ricorrente, titolare di una ditta individuale, ha prodotto dapprima una contabilità, dalla quale si evincevano gli attivi e i passivi al 31 dicembre 2012 e i ricavi e i costi del periodo fiscale 2012. Il risultato era un utile d’esercizio di fr. 47'413.–. Poiché fra i costi erano incluse spese palesemente non giustificate, l’autorità fiscale ha in un primo tempo elevato l’utile a fr. 101'000.–, riprendendo essenzialmente le imposte (fr. 40'553.–) ed un importo stimato per l’uso privato degli autoveicoli (fr. 13'000.–). In seguito al reclamo del contribuente, l’Ufficio di tassazione gli ha chiesto di documentare i costi ed ha anche intrapreso un calcolo delle entrate e delle uscite del periodo fiscale, per verificare se vi fosse una disponibilità finanziaria sufficiente per il sostentamento del reclamante. Con la decisione impugnata, ha così elevato il reddito dell’attività lucrativa indipendente a fr. 120'000.–.</w:t>
      </w:r>
    </w:p>
    <w:p>
      <w:r>
        <w:rPr>
          <w:b/>
        </w:rPr>
        <w:t>E. 2.2</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 a ediz., Basilea 2008, Vol. I/2b, n. 28 ad art. 125 LIFD, p. 296).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(decisione TF n. 2A.272/2003 del 13 dicembre 2003, consid. 4).</w:t>
      </w:r>
    </w:p>
    <w:p>
      <w:r>
        <w:rPr>
          <w:b/>
        </w:rPr>
        <w:t>E. 2.3</w:t>
      </w:r>
    </w:p>
    <w:p>
      <w:r>
        <w:t>È immediatamente evidente che la contabilità allegata dal contribuente alla sua dichiarazione d’imposta non è attendibile. La documentazione successivamente prodotta, su richiesta dell’autorità fiscale, ha infatti dimostrato che soprattutto i costi inclusi nel conto economico della ditta inviduale sono stati “gonfiati” includendovi diverse spese che o sono del tutto ingiustificate (p. es. le imposte per oltre 40'000 franchi) o sono perlomeno parzialmente private (quelle per le diverse automobili, per il telefono, la televisione ecc.). Il contribuente, con una cifra d’affari di oltre 300'000 franchi, è soggetto all'obbligo di tenere una contabilità (art. 957 CO, nella versione in vigore nel periodo fiscale litigioso). Secondo il Tribunale federale, è “contenutisticamente inesatto“ un conto economico nel quale vengono iscritti costi manifestamente privati. Nel caso di un’automobile usata anche privatamente, deve essere considerata nel conto economico la quota privata. Altrimenti, il contribuente commette non solo una sottrazione d’imposta ma anche una frode fiscale (cfr. p. es. la sentenza del 4 luglio 2013, n. 6B_755/2012).</w:t>
      </w:r>
    </w:p>
    <w:p>
      <w:r>
        <w:rPr>
          <w:b/>
        </w:rPr>
        <w:t>E. 2.4</w:t>
      </w:r>
    </w:p>
    <w:p>
      <w:r>
        <w:t>Senza entrare nei dettagli, dal conto economico del ricorrente risulta che nel 2012 ha pagato imposte di circolazione per ben fr. 2'487.–, fra le altre anche per l’immatricolazione di una __________ e di una __________, con targa trasferibile (fr. 843.–). Per l’assicurazione dei veicoli ha pagato complessivamente fr. 7'652.–. Anche in questo caso, risultano inclusi i premi per le vetture con la targa (trasferibile) TI __________. Per il leasing dei veicoli sono stati pagati fr. 25'159.35; anche se dai documenti agli atti non è chiaro come sia composto tale importo, sembrano rientrarvi anche le rate pagate per l’__________. Sempre in relazione ai veicoli, figurano spese di manutenzione e riparazione per fr. 3'655.16, benzina per fr. 5'391.87, parcheggi, multe e pedaggi per fr. 240.–. Non si spiegano neppure i premi per la “cassa pensione” di fr. 3'000.–, che si aggiungono a quelli per la “cassa pensione dipendenti” (fr. 5'779.86). Ci sono poi ben fr. 5'181.12 per “costi telefonici e adsl”. Se si considera che la sede della ditta è presso il domicilio del titolare e che, fra gli abbonamenti pagati, ce n’è uno per “offerta combinata di telefonia ISDN con 3 numeri di chiamata, internet e TV”, anche in questo caso si può ritenere che siano inclusi costi privati.</w:t>
      </w:r>
    </w:p>
    <w:p>
      <w:r>
        <w:rPr>
          <w:b/>
        </w:rPr>
        <w:t>E. 2.5</w:t>
      </w:r>
    </w:p>
    <w:p>
      <w:r>
        <w:t>Nella situazione descritta, l’autorità fiscale ha dovuto procedere ad una quantificazione per apprezzamento della quota privata delle spese che apparivano perlomeno parzialmente non giustificate. Se in un primo tempo si è limitata ad una ripresa di fr. 13'000.–, in seguito ha elevato tale importo a fr. 32'000.–, alla luce anche dei problemi che emergevano dal calcolo delle entrate e delle uscite. Con il ricorso, il contribuente cerca di giustificare l’eccedenza di uscite rispetto alle entrate, sostenendo di aver consumato capitale depositato su conti non dichiarati. Ha infatti allegato estratti di conti che non erano noti all’autorità fiscale. Su questa base, l’Ufficio di tassazione ha proposto di ridurre la ripresa delle spese private a fr. 20'000.–, considerando un fabbisogno mensile per il mantenimento personale di 2'000 franchi al mese. Il ricorrente ha replicato, ritenendo di condurre una vita molto modesta, per cui gli basterebbero 1'000 franchi mensili, con la conseguenza che si giustificherebbe una ripresa di soli 12'000 franchi.</w:t>
      </w:r>
    </w:p>
    <w:p>
      <w:r>
        <w:rPr>
          <w:b/>
        </w:rPr>
        <w:t>E. 2.6</w:t>
      </w:r>
    </w:p>
    <w:p>
      <w:r>
        <w:t>Come si è già sottolineato, la contabilità prodotta dal ricorrente si è rivelata inattendibile. Nonostante le ripetute richieste di collaborazione dell’autorità fiscale, molti aspetti sono ancora poco chiari, a cominciare dalla suddivisione dei rilevanti costi per il leasing dei diversi veicoli della ditta. La disinvoltura del contribuente è confermata anche dalla circostanza che solo con il ricorso ha dichiarato l’esistenza di due relazioni bancarie, cosa che ha fatto unicamente in funzione della necessità di comprovare il consumo di sostanza. A tale riguardo,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 La proposta dell’autorità fiscale appare, in questa prospettiva, ancora prudenziale e comunque non certamente punitiva. D’altronde, ammettere che il contribuente, titolare di un’impresa con una cifra d’affari non trascurabile, possa vivere con una disponibilità mensile inferiore persino al minimo vitale del diritto esecutivo (che ammonta a fr. 1'200.– al mese), apparirebbe del tutto incomprensibile.</w:t>
      </w:r>
    </w:p>
    <w:p>
      <w:r>
        <w:rPr>
          <w:b/>
        </w:rPr>
        <w:t>E. 3</w:t>
      </w:r>
    </w:p>
    <w:p>
      <w:r>
        <w:t>Nonostante l’esito del ricorso, almeno parzialmente favorevole al ricorrente, la tassa di giustizia e le spese processuali sono poste integralmente a suo carico, in considerazione del fatto che la documentazione che ha consentito di ridurre il reddito imponibile è stata prodotta per la prima volta con il ricorso. Per questi motivi, visti per le spese gli art. 144 LIFD e 231 LT dichiara e pronuncia 1.   Il ricorso è parzialmente accolto . §    Di conseguenza, la decisione su reclamo dell’11 dicembre 2013 è riformata nel senso che il reddito dell’attività lucrativa è ridotto a fr. 108'000.–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