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80.2014.274 vom 15. Oktober 2014</w:t>
      </w:r>
    </w:p>
    <w:p>
      <w:r>
        <w:t>TI Tribunale d'appello, 2014-10-15, IT</w:t>
      </w:r>
    </w:p>
    <w:p>
      <w:r>
        <w:rPr>
          <w:b/>
        </w:rPr>
        <w:t xml:space="preserve">Quelle: </w:t>
      </w:r>
      <w:r>
        <w:t>https://mcp.opencaselaw.ch/entscheid/ti_gerichte_80.2014.274</w:t>
      </w:r>
    </w:p>
    <w:p>
      <w:r>
        <w:t>FR: TI_GERICHTE 80.2014.274 du 15 octobre 2014</w:t>
      </w:r>
    </w:p>
    <w:p>
      <w:r>
        <w:t>IT: TI_GERICHTE 80.2014.274 del 15 ottobre 2014</w:t>
      </w:r>
    </w:p>
    <w:p>
      <w:pPr>
        <w:pStyle w:val="Heading2"/>
      </w:pPr>
      <w:r>
        <w:t>Regeste</w:t>
      </w:r>
    </w:p>
    <w:p>
      <w:r>
        <w:t>Reddito della sostanza immobiliare: valore locativo, abitazioni di vacanza, 100% del valore di mercato, contestazione dell'importo precedentemente accettato Deduzioni: spese per malattia, infortunio e invalidità, cure dentarie, onere della prova, fatture dettagliate del dentista</w:t>
      </w:r>
    </w:p>
    <w:p>
      <w:pPr>
        <w:pStyle w:val="Heading2"/>
      </w:pPr>
      <w:r>
        <w:t>Erwägungen</w:t>
      </w:r>
    </w:p>
    <w:p>
      <w:r>
        <w:rPr>
          <w:b/>
        </w:rPr>
        <w:t>E. 1.1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Le normative cantonale e federale si differenziano fra loro quanto alle modalità di calcolo del valore locativo.</w:t>
      </w:r>
    </w:p>
    <w:p>
      <w:r>
        <w:rPr>
          <w:b/>
        </w:rPr>
        <w:t>E. 1.2</w:t>
      </w:r>
    </w:p>
    <w:p>
      <w:r>
        <w:t>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w:t>
      </w:r>
    </w:p>
    <w:p>
      <w:r>
        <w:rPr>
          <w:b/>
        </w:rPr>
        <w:t>E. 1.3</w:t>
      </w:r>
    </w:p>
    <w:p>
      <w:r>
        <w:t>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modalità di accertamento del valore locativo,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precisando poi che il 60% del valore di mercato rappresenta il limite inferiore che è ancora conforme al principio costituzionale dell’uguaglianza (art. 8 cpv. 1 Cost. fed.).</w:t>
      </w:r>
    </w:p>
    <w:p>
      <w:r>
        <w:rPr>
          <w:b/>
        </w:rPr>
        <w:t>E. 1.4</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Dal 1° gennaio 2009 è entrato in vigore l’art. 20 cpv. 3 LT, secondo cui la riduzione di cui al capoverso 2 non è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 6133 del 15 ottobre 2008 concernente il Preventivo 2009 e obiettivo di bilancio 2011, par. 6.5.3).</w:t>
      </w:r>
    </w:p>
    <w:p>
      <w:r>
        <w:rPr>
          <w:b/>
        </w:rPr>
        <w:t>E. 2.1</w:t>
      </w:r>
    </w:p>
    <w:p>
      <w:r>
        <w:t>Per quanto riguarda le modalità di determinazione del valore locativo, secondo l’art. 2 del decreto esecutivo del 19 dicembre 2012 concernente l’imposizione delle persone fisiche valido per il periodo fiscale 2013 (RL 10.2.2.1.4),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w:t>
      </w:r>
    </w:p>
    <w:p>
      <w:r>
        <w:rPr>
          <w:b/>
        </w:rPr>
        <w:t>E. 2.2</w:t>
      </w:r>
    </w:p>
    <w:p>
      <w:r>
        <w:t>In una sentenza di principio risalente al 9 maggio 2008 (CDT n. 80.2007.173),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w:t>
      </w:r>
    </w:p>
    <w:p>
      <w:r>
        <w:rPr>
          <w:b/>
        </w:rPr>
        <w:t>E. 3.1</w:t>
      </w:r>
    </w:p>
    <w:p>
      <w:r>
        <w:t>Nel caso in esame, l’Ufficio di tassazione ha determinato il valore locativo dell’immobile di __________ partendo dal valore di reddito stabilito nel calcolo del valore di stima ufficiale intrapreso nel 2004. Infatti, il valore di reddito risultante dalla decisione dell’Ufficio di stima ammonta a fr. 19'045.– ed il 90% di tale importo corrisponde circa al valore locativo imposto nella decisione di tassazione dei ricorrenti (fr. 17’464.50, arrotondato a fr. 17'400.–). Tanto basta per annullare la decisione impugnata, che si fonda su una modalità di calcolo che l’Ufficio di tassazione sa essere stata ripetutamente censurata da questa Camera.</w:t>
      </w:r>
    </w:p>
    <w:p>
      <w:r>
        <w:rPr>
          <w:b/>
        </w:rPr>
        <w:t>E. 3.2</w:t>
      </w:r>
    </w:p>
    <w:p>
      <w:r>
        <w:t>Non si può peraltro fare a meno di interrogarsi sulla coerenza della decisione stessa, che, come sottolineato dai ricorrenti, ha ripreso i dati risultanti dalla “rettifica d’errore” della stima ufficiale, decisa dall’Ufficio di stima il 17 aprile 2014, ma limitatamente al calcolo dell’imposta sulla sostanza. Infatti, con la decisione su reclamo impugnata, l’autorità di tassazione ha “rettificato il valore di stima del mappale __________ di __________, come da comunicazione dell’Ufficio Stima di Bellinzona”, ma ha poi confermato il valore locativo calcolato a partire dal valore di reddito risultante dalla decisione dell’Ufficio di stima in seguito rettificata. Risulta dagli atti, invece, che anche il valore di reddito è stato rettificato dall’Ufficio di stima ed ammonta di conseguenza a fr. 15'233,40.</w:t>
      </w:r>
    </w:p>
    <w:p>
      <w:r>
        <w:rPr>
          <w:b/>
        </w:rPr>
        <w:t>E. 3.3</w:t>
      </w:r>
    </w:p>
    <w:p>
      <w:r>
        <w:t>La mera circostanza che il valore locativo di fr. 17'400.– sia stato “imposto, a partire dalla decisione di tassazione 2005” (cfr. decisione su reclamo del 15 ottobre 2014) e che non sia “mai stato inoltrato [dai contribuenti] un reclamo ufficiale sul valore locativo imposto dopo l’entrata in vigore delle nuove stime” (cfr. osservazioni al reclamo del 6 novembre 2014) appare in questo contesto del tutto irrilevante. A tale proposito basti pensare che, secondo il Tribunale federale, neppure il principio della buona fede vieta alle autorità fiscali di giudicare diversamente, nell’ambito di un periodo fiscale ulteriore, una questione di diritto controversa che era stata anteriormente risolta in favore della contribuente (RDAF 56/2000 p. 217 = StE 2000 A 21.14 n. 13 = ASA 69 p. 793; il principio secondo cui le tassazioni divenute definitive sono vincolanti unicamente in relazione ai periodi che le riguardano .stato ribadito dal Tribunale federale ancora nella sentenza n. 2C_157/2010 e 2C_163/2010 del 12 dicembre 2010, consid. 11.8). Meno che mai sarà l’autorità a poter invocare la propria buona fede nei confronti di un contribuente che in periodi fiscali precedenti aveva accettato una certa valutazione del suo reddito (cfr. anche la sentenza CDT n. 80.2013.149 del 28 aprile 2014, consid. 3.2). Inoltre, nel caso in esame è effettivamente sopravvenuta una decisione dell’Ufficio di stima, che ha rettificato il valore di stima ufficiale e, in tale contesto, lo stesso valore di reddito dell’immo-bile degli insorgenti. Proprio perché l’Ufficio di tassazione, ignorando la giurisprudenza di questa Camera, ha fondato il calcolo del valore locativo sul valore di reddito stabilito dall’Ufficio di stima, si fatica a comprendere come possa rifiutarsi di tener conto della rettifica di tale valore, intrapresa proprio dall’Ufficio di stima.</w:t>
      </w:r>
    </w:p>
    <w:p>
      <w:r>
        <w:rPr>
          <w:b/>
        </w:rPr>
        <w:t>E. 3.4</w:t>
      </w:r>
    </w:p>
    <w:p>
      <w:r>
        <w:t>Alla luce delle considerazioni che precedono, la decisione impugnata deve pertanto essere annullata e gli atti rinviati all’Ufficio di tassazione, perché riesamini la fattispecie e adotti una nuova decisione motivata.</w:t>
      </w:r>
    </w:p>
    <w:p>
      <w:r>
        <w:rPr>
          <w:b/>
        </w:rPr>
        <w:t>E. 4.1</w:t>
      </w:r>
    </w:p>
    <w:p>
      <w:r>
        <w:t>In virtù dell’art. 9 cpv. 2 lett. h LAID, nel tenore in vigore dal 1° gennaio 2005, dai proventi imponibili sono dedotte le spese per malattia e infortunio del contribuente o delle persone al cui sostentamento egli provvede, quando tali spese sono sopportate dal contribuente medesimo e superano una franchigia determinata dal diritto cantonale. L’art. 33 cpv. 1 lett. h LIFD, per l’imposta federale diretta, affermato lo stesso principio, stabilisce la franchigia nel 5 per cento dei proventi imponibili, dopo le deduzioni di cui agli articoli 26–33. La stessa disciplina è prevista, per l’imposta cantonale ticinese, dall’art. 32 cpv. 1 lett. i LT, secondo cui sono deducibili le spese per malattia e infortunio del contribuente o delle persone al cui sostentamento egli provvede, quando tali spese sono sopportate dal contribuente medesimo e superano il 5 per cento dei proventi imponibili, dopo le deduzioni di cui agli art. da 25 a 32.</w:t>
      </w:r>
    </w:p>
    <w:p>
      <w:r>
        <w:rPr>
          <w:b/>
        </w:rPr>
        <w:t>E. 4.2</w:t>
      </w:r>
    </w:p>
    <w:p>
      <w:r>
        <w:t>Secondo la giurisprudenza del Tribunale federale, di principio, con la nozione di spese per malattia si intendono i costi delle misure per il mantenimento ed il ripristino della salute propriamente dette, in particolare per i trattamenti medici, i soggiorni in ospedale, i medicinali, le vaccinazioni e le apparecchiature mediche, gli occhiali, le terapie o le misure di disintossicazione (cfr. sentenza del 3 novembre 2005, in RtiD I-2006 n. 11t, consid. 4.2.2). D’altra parte, nella sistematica della legge, le spese per malattia rientrano nelle deduzioni generali, dette anche anorganiche o economico-sociali, le quali comprendono spese che in sé consistono nell’utilizzazione del reddito e che come tali non sarebbero deducibili (cfr. art. 34 LIFD e 33 LT); tuttavia, la loro deduzione è stata ammessa dal legislatore per motivi di politica fiscale, cioè per perseguire obiettivi extra fiscali ( Oberson , Droit fiscal suisse, 2 a ediz., Basilea 2002, p. 130/131 e riferimenti; Locher , Kommentar zum DBG, vol. I, Therwil/Basilea 2001, n. 32/33 ad art. 25, p. 638). Per questa ragione, devono essere interpretate in modo restrittivo. Del resto, la deduzione delle spese per malattia è stata introdotta dal legislatore nell’intento di venire incontro a quei contribuenti per i quali le spese mediche, che eccedono l’ammontare rimborsato dall’assicurazione contro le malattie, rappresentano un onere difficile da sopportare (cfr. la sentenza del Tribunale federale del 28 novembre 2006, in RDAF 2006 II p. 409, consid. 5.1, con riferimento a: Messaggio del Consiglio federale del 25 maggio 1983 a sostegno delle leggi federali sull’armonizzazione delle imposte dirette dei Cantoni e dei Comuni e sull’imposta federale diretta, in FF 1983 III p. 110; inoltre DTF 128 II 66 consid. 4c).</w:t>
      </w:r>
    </w:p>
    <w:p>
      <w:r>
        <w:rPr>
          <w:b/>
        </w:rPr>
        <w:t>E. 4.3</w:t>
      </w:r>
    </w:p>
    <w:p>
      <w:r>
        <w:t>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 3 novembre 2005, consid. 4.1, in: RtiD I-2006 n. 11t.; n. 2A.84/2005 del 24 febbraio 2005 consid. 4; inoltre Locher, op. cit., n. 82 ad art. 33 LIFD).</w:t>
      </w:r>
    </w:p>
    <w:p>
      <w:r>
        <w:rPr>
          <w:b/>
        </w:rPr>
        <w:t>E. 4.4</w:t>
      </w:r>
    </w:p>
    <w:p>
      <w:r>
        <w:t>La Circolare n. 11 del 31 agosto 2005 (Deduzione delle spese di malattia e infortunio nonché delle spese per disabilità) dell’Ammi-nistrazione federale delle contribuzioni (AFC) prevede che le spese per cure di affezioni dentarie, per cure e interventi di ortodonzia o di igiene dentaria siano equiparate alle spese di malattia. Non sono invece deducibili le spese causate da trattamenti di mero carattere cosmetico (ad es. sbiancamento dei denti) (Circolare cit., par. 3.2.1, p. 4).</w:t>
      </w:r>
    </w:p>
    <w:p>
      <w:r>
        <w:rPr>
          <w:b/>
        </w:rPr>
        <w:t>E. 4.5</w:t>
      </w:r>
    </w:p>
    <w:p>
      <w:r>
        <w:t>Nella fattispecie, per la prima volta con il ricorso i contribuenti hanno fatto valere spese per cure dentarie per complessivi fr. 8'801.–. Le stesse sono documentate da cinque ricevute postali (del 15.3.2013, 24.4.2013, 7.6.2013, 28.8.2013 e 12.12.2013) che attestano pagamenti, da parte di RI 2, a favore del dott. med. dent. __________ __________. Nella misura in cui eccedono la franchigia, che corrisponde al 5 per cento dei proventi imponibili, dopo le deduzioni di cui agli articoli 26–33 LIFD e 25-32 LT, le spese in questione sono in sé deducibili. La “franchigia” del 5% ammonta a fr. 2’402.– per l’IC ed a fr. 2’765.– per l’IFD. Gli insorgenti non hanno tuttavia prodotto una fattura del dentista, dalla quale sia possibile verificare la natura delle prestazioni professionali, alle quali i pagamenti si riferiscono. Le spese di malattia, di infortunio e per disabilità fatte valere dal contribuente per sé stesso o per una persona al cui sostentamento egli provvede devono essere comprovate da certificati medici, fatture, giustificativi assicurativi ecc. (cfr. la Circolare cit., par. 6, p. 11, con riferimento alla sentenza del Tribunale federale del 24 febbraio 2005 [2A.84/2005]). Si tratta in particolar modo di escludere che sia stata chiesta la deduzione di trattamenti di mero carattere estetico.</w:t>
      </w:r>
    </w:p>
    <w:p>
      <w:r>
        <w:rPr>
          <w:b/>
        </w:rPr>
        <w:t>E. 4.6</w:t>
      </w:r>
    </w:p>
    <w:p>
      <w:r>
        <w:t>Anche su questo punto, si giustifica pertanto il rinvio degli atti all’Uf-ficio di tassazione per una nuova decisione, alla luce delle note d’onorario dettagliate, rilasciate dal dentista.</w:t>
      </w:r>
    </w:p>
    <w:p>
      <w:r>
        <w:rPr>
          <w:b/>
        </w:rPr>
        <w:t>E. 5</w:t>
      </w:r>
    </w:p>
    <w:p>
      <w:r>
        <w:t>Tenuto conto del fatto che, per quanto attiene alle spese di malattia, il ricorso avrebbe potuto essere evitato, se i contribuenti avessero fatto valere le spese per cure dentarie con la dichiarazione o tutt’al più con il reclamo contro la decisione di tassazione, la tassa di giustizia e le spese processuali sono porte almeno in parte a loro carico.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Per questi motivi, visti per le spese gli art. 144 LIFD e 231 LT dichiara e pronuncia 1.   La decisione su reclamo del 15 ottobre 2014 è annullata e gli atti sono rinviati all’Ufficio di tassazione per una nuova decisione. 2.   Le spese processuali consistenti: a. nella tassa di giustizia di                                fr.    800.– b. nelle spese di cancelleria di complessivi    fr.      80.– per un totale di                                                      fr.    880.– sono a carico dei ricorrenti nella misura di un mezzo (fr. 440.–).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