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80.2014.271 vom 8. Oktober 2014</w:t>
      </w:r>
    </w:p>
    <w:p>
      <w:r>
        <w:t>TI Tribunale d'appello, 2014-10-08, IT</w:t>
      </w:r>
    </w:p>
    <w:p>
      <w:r>
        <w:rPr>
          <w:b/>
        </w:rPr>
        <w:t xml:space="preserve">Quelle: </w:t>
      </w:r>
      <w:r>
        <w:t>https://mcp.opencaselaw.ch/entscheid/ti_gerichte_80.2014.271</w:t>
      </w:r>
    </w:p>
    <w:p>
      <w:r>
        <w:t>FR: TI_GERICHTE 80.2014.271 du 8 octobre 2014</w:t>
      </w:r>
    </w:p>
    <w:p>
      <w:r>
        <w:t>IT: TI_GERICHTE 80.2014.271 del 8 ottobre 2014</w:t>
      </w:r>
    </w:p>
    <w:p>
      <w:pPr>
        <w:pStyle w:val="Heading2"/>
      </w:pPr>
      <w:r>
        <w:t>Regeste</w:t>
      </w:r>
    </w:p>
    <w:p>
      <w:r>
        <w:t>Deduzioni: spese di manutenzione immobiliare, demolizione e costruzione nuova tettoia su un parcheggio esterno, miglioria</w:t>
      </w:r>
    </w:p>
    <w:p>
      <w:pPr>
        <w:pStyle w:val="Heading2"/>
      </w:pPr>
      <w:r>
        <w:t>Erwägungen</w:t>
      </w:r>
    </w:p>
    <w:p>
      <w:r>
        <w:rPr>
          <w:b/>
        </w:rPr>
        <w:t>E. 1.1</w:t>
      </w:r>
    </w:p>
    <w:p>
      <w:r>
        <w:t>Per quanto attiene alla definizione del valore locativo, l’Ufficio di tassazione, nella decisione impugnata afferma di aver determinato, tenuto conto dei “colloqui intercorsi con il signor RI 2 in considerazione della contestazione dell’imposto valore locativo sull’abitazione di cui alla part. __________ RFD di __________ dopo i lavori di rinnovamento effettuati nel 2004”, il valore locativo in complessivi fr. “13'785.- in considerazione dei valori di stima ufficiale”. Il valore locativo così determinato di fr. 13'735.- concerne esclusivamente la part. __________ RFD di __________ e non è comprensivo del posteggio situato sul mapp. n.__________ RFD di __________. Nel corso dell’udienza tenutasi il 21 aprile 2015, l’autorità fiscale ha sostenuto di acconsentire alla richiesta dei ricorrenti di attribuire un valore locativo annuo di fr. 1'200.- per l’uso del posteggio situato sotto la tettoia. Il verbale è stato (evidentemente) sottoscritto da ambo le parti e pertanto su questo punto esse hanno raggiunto un accordo.</w:t>
      </w:r>
    </w:p>
    <w:p>
      <w:r>
        <w:rPr>
          <w:b/>
        </w:rPr>
        <w:t>E. 1.2</w:t>
      </w:r>
    </w:p>
    <w:p>
      <w:r>
        <w:t>Con un ulteriore scritto del 21/23 aprile 2015, i contribuenti, a complemento del verbale del 21 aprile 2015 e, a loro dire, per “una miglior chiarezza e a futura memoria”, hanno chiesto a questa Camera di “chiarire con la vostra decisione l’affermazione dell’ufficio di tassazione in merito all’attribuzione del valore locativo annuo di CHF 1'200.00 per l’uso del posteggio situato sotto la tettoia”. Indicano che non vorrebbero che “la ricostruzione di un’eventuale cedimento del muro perimetrale o cedimenti della scarpata, siccome sono molto vicini alla tettoia ed è completamente aperta, non venga riconosciuta quale manutenzione perché non rientrano ‘sotto la tettoia’”. La questione sollevata con la lettera in discussione non presenta alcun interesse attuale. Nel momento in cui dovessero essere chiesti in deduzione costi per interventi concreti, l’autorità di tassazione stabilirà se si tratti di spese causalmente legate al conseguimento del valore locativo del parcheggio o meno.</w:t>
      </w:r>
    </w:p>
    <w:p>
      <w:r>
        <w:rPr>
          <w:b/>
        </w:rPr>
        <w:t>E. 1.3</w:t>
      </w:r>
    </w:p>
    <w:p>
      <w:r>
        <w:t>Ne consegue pertanto che per quanto attiene al valore locativo, sia dell’abitazione sul mapp. n. __________ RFD (fr. 13'785.-) e sia del posteggio sul mapp. n. __________ RFD di __________ (fr. 1'200.- annui) le parti hanno trovato un accordo e pertanto il ricorso su questo punto è divenuto privo d’oggetto.</w:t>
      </w:r>
    </w:p>
    <w:p>
      <w:r>
        <w:rPr>
          <w:b/>
        </w:rPr>
        <w:t>E. 2.1</w:t>
      </w:r>
    </w:p>
    <w:p>
      <w:r>
        <w:t>Secondo l’art. 32 cpv. 2 LIFD, di uguale tenore dell’art. 9 cpv. 3 LAID, il contribuente che possiede immobili privati può dedurre le spese di manutenzione, le spese di riattazione di immobili di nuova acquisizione, i premi d’assicurazione e le spese d’amministrazione da parte di terzi.</w:t>
      </w:r>
    </w:p>
    <w:p>
      <w:r>
        <w:rPr>
          <w:b/>
        </w:rPr>
        <w:t>E. 2.2</w:t>
      </w:r>
    </w:p>
    <w:p>
      <w:r>
        <w:t>Analoga disposizione esiste a livello cantonale, anche se l’art. 31 cpv. 2 LT non disciplina espressamente le spese di riattazione di immobili di nuova acquisizione. Malgrado i Cantoni avessero tempo due anni dall’entrata in vigore della legge federale – vale a dire entro inizio 2012 – per adeguare la loro legislazione alle disposizioni federali (art. 72 j cpv. 1 LAID), il legislatore ticinese non vi ha tutt’ora provveduto. La Divisione delle contribuzioni ha nondimeno manifestato la volontà di abolire la cosiddetta “prassi Dumont ” già a decorrere dal 1° gennaio 2010, come dimostra inequivocabilmente la nuova Circolare n. 7/2010 del mese di aprile 2011.</w:t>
      </w:r>
    </w:p>
    <w:p>
      <w:r>
        <w:rPr>
          <w:b/>
        </w:rPr>
        <w:t>E. 3.1</w:t>
      </w:r>
    </w:p>
    <w:p>
      <w:r>
        <w:t>Per costante giurisprudenza sono considerate spese di manutenzione quelle che, senza aumentare il valore dell’immobile, ne preservano lo stato, ne conservano l’uso e ne mantengono la redditività ( Agner/Jung/Steinmann , Kommentar zum Gesetz über die direkte Bundessteuer, Zurigo 1995, n. 5 ad art. 32 LIFD, p. 219 s.; Känzig , Direkte Bundessteuer, 2 a ediz., Vol. I, Basilea 1982, p. 649; Bottoli , Lineamenti di diritto tributario ticinese, Lugano 1977, p. 66). Esse vengono generalmente suddivise in tre distinte categorie: · le spese di manutenzione in senso stretto (“Instandhaltungskosten”, “frais d’entretien courants”) , ovvero le spese ricorrenti che tendono a garantire la funzionalità di un immobile (per esempio le piccole riparazioni; cfr. Richner/Frei/ Kaufmann/Meuter , Handkommentar zum DBG, 2ª ediz., Zurigo 2009, n. 40 ad art. 32 LIFD, p. 518; Merlino , in: Yersin/Noël [a cura di], Impôt fédéral direct, Basilea 2008, n. 51 ad art. 32 LIFD, p. 490; Locher , Kommentar zum DBG, Vol. I, Basilea/Therwil 2001, n. 24 ad art. 32 LIFD, p. 787); · le spese di riparazione (“Instandstellungskosten”, “frais de remise en état”) , ovvero le spese che intervengono a scadenze più lunghe e tendono a garantire la redditività di un immobile (per esempio il rinnovo di facciate; cfr. Richner/ Frei/Kaufmann/Meuter , op. cit., n. 41 ad art. 32 LIFD, p. 518; Merlino , loc. cit; Locher , loc. cit.); · le spese di sostituzione o modernizzazione (“Ersatzanschaffungskosten”, “coût de remplacement”) : i primi due tipi di costi di manutenzione servono infatti a far sì che un oggetto mantenga quel valore che corrisponde alla sua durata di impiego residua; ma ogni oggetto ha una durata d’impiego limitata. Colui che se ne serve sarà pertanto costretto prima o poi a sostituire l’oggetto usato o a modernizzarlo. Se installazioni non più conformi alle esigenze moderne vengono sostituite, le relative spese sono nondimeno deducibili, a condizione che le nuove offrano più o meno lo stesso grado di comodità di quello che offrivano le vecchie ai tempi in cui furono installate. Ciò si verifica, per esempio, quando apparecchi di cucina o bollitori difettosi o divenuti inutilizzabili vengono rimpiazzati con altri che svolgono la medesima funzione (decisione CDT n. 80.96.170 del 27 gennaio 1997, in: RDAT II-1997 n. 4t).</w:t>
      </w:r>
    </w:p>
    <w:p>
      <w:r>
        <w:rPr>
          <w:b/>
        </w:rPr>
        <w:t>E. 3.2</w:t>
      </w:r>
    </w:p>
    <w:p>
      <w:r>
        <w:t>Ai fini della determinazione del reddito imponibile non possono invece essere dedotte le spese di investimento, segnatamente di miglioria di beni patrimoniali (cfr. art. 34 lett. d LIFD e art. 33 lett. d LT). La distinzione tra spese di manutenzione e spese di miglioria non sempre è facilmente praticabile, poiché vi sono spese che, effettuate allo scopo di salvaguardare o ripristinare il valore dell’immobile, ne aumentano nel contempo il comfort . Viceversa vi sono spese volute per incrementare il valore dell’immobile che servono in parte a salvaguardare o mantenere quello iniziale. Per ovviare a queste difficoltà, la prassi della Divisione delle contribuzioni suole in questi casi operare una suddivisione della spesa totale, espressa in frazione, tra spesa di manutenzione deducibile e spesa di miglioria non deducibile (cfr. Circolare n. 7/2010 dell’aprile 2011). Fanno eccezione unicamente gli investimenti destinati al risparmio di energia e alla protezione dell’ambiente (art. 32 cpv. 2 LIFD e art. 31 cpv. 2 LT), nei quali rientrano tutti i provvedimenti che contribuiscono a razionalizzare il consumo di energia o a far uso di energie rinnovabili (art. 5 dell’Ordinanza concernente la deduzione dei costi di immobili del patrimonio privato in materia di imposta federale diretta; RS 642.116). Simili interventi – per esplicita volontà del legislatore – vanno sempre assimilati alle spese di manutenzione, anche se contribuiscono ad incrementare il valore dell’immobile (decisione TF n. 2C_727/2012 e 2C_729/2012 del 18 dicembre 2012, in: StR 68/2013 p. 318).</w:t>
      </w:r>
    </w:p>
    <w:p>
      <w:r>
        <w:rPr>
          <w:b/>
        </w:rPr>
        <w:t>E. 3.3</w:t>
      </w:r>
    </w:p>
    <w:p>
      <w:r>
        <w:t>Ai fini della determinazione del reddito imponibile non possono nemmeno essere dedotte le spese di acquisto e fabbricazione di beni patrimoniali (art. 34 lett. d LIFD e art. 33 lett. d LT). Per quanto qui di interesse, le spese di fabbricazione ( “Herstellung” ; “production” ) non concernono soltanto le nuove costruzioni, ma riguardano pure i casi di “demolizione e ricostruzione estesa” o di “risanamento totale” di un immobile, a tal punto importanti e radicali da dover essere assimilati all’acquisizione di una nuova struttura edilizia, diversa da quella preesistente (decisione TF n. 2P.25/1998 del 24 febbraio 1999, in: RDAT II-1999 n. 21t). Come ancora recentemente confermato dalla giurisprudenza federale, simili interventi devono essere assimilati in tutto e per tutto a una nuova costruzione, senza che possano entrare in linea di considerazione lavori di manutenzione fiscalmente rilevanti e quindi deducibili dal reddito imponibile. L’Alta Corte ha, per esempio, negato ogni deduzione · ad un contribuente che nell’ambito di lavori di risanamento aveva, di fatto, costruito una nuova stalla al piano inferiore di un edificio (decisione TF n. 2C_666/2012 e 2C_667/2012 del 18 dicembre 2012); · ad un contribuente che aveva ricostruito lo stabile principale e trasformato quello accessorio da garage ad appartamento (decisione TF n. 2C_63/2010 del 6 luglio 2010, in: StR 65/2010 p. 864); · ad un contribuente che aveva ricostruito una pergola andata distrutta – eccezion fatta per la sua struttura portante – a seguito di forti nevicate (decisione TF n. 2C_878/2010 del 19 aprile 2011, consid. 4 e 6.1). Lo stesso ha fatto questa Camera, negando la deduzione dei costi di costruzione a contribuenti che, demolito in quanto fatiscente un edificio annesso alla propria villa, lo avevano ricostruito, mantenendo inalterata la volumetria ma trasformandolo da negozio a garage (CDT n. 80.2002.96 del 10 giugno 2002). In un altro caso ha negato ogni deduzione ad un contribuente che aveva trasformato ed ampliato un rustico, la cui destinazione era passata da stalla ad abitazione secondaria (CDT n. 80.2003.190 del 9 febbraio 2004, in: RtiD II-2004 n. 7t).</w:t>
      </w:r>
    </w:p>
    <w:p>
      <w:r>
        <w:rPr>
          <w:b/>
        </w:rPr>
        <w:t>E. 4.1</w:t>
      </w:r>
    </w:p>
    <w:p>
      <w:r>
        <w:t>Venendo alla fattispecie in esame, l’Ufficio di tassazione ha negato la deduzione dei richiesti costi d’immobili effettivi, “con riguardo alle spese di demolizione e ricostruzione della tettoia sulla part. __________ RFD di __________ oltre a spese di gestione”, ammettendo invece la deduzione forfettaria. I ricorrenti chiedono invece che vengano loro riconosciuti i costi effettivi, sostenendo che i lavori effettuati alla tettoia sono da qualificare come lavori di manutenzione. Chiedono inoltre che siano riconosciuti come lavori di manutenzione anche i lavori di “consolidamento della scarpata” e quindi anche il conseguente rifacimento dell’asfalto, in “quanto era “corroso” a seguito dell’avanzare della scarpata”.</w:t>
      </w:r>
    </w:p>
    <w:p>
      <w:r>
        <w:rPr>
          <w:b/>
        </w:rPr>
        <w:t>E. 4.2</w:t>
      </w:r>
    </w:p>
    <w:p>
      <w:r>
        <w:t>Come si evince dalla documentazione fotografica prodotta dai ricorrenti, e come da loro esplicato nel gravame, sulla particella n. __________ RFD __________ vi era già una tettoia, costruita dal precedente proprietario negli anni ’80. Questa tettoia era stata costruita con delle assi di legno (“perline”) e aveva una base in cemento e il tetto coperto con della carta catramata. I ricorrenti hanno indicato che essendosi la tettoia deteriorata con il trascorre degli anni e a causa delle intemperie, hanno dovuto procedere a sostituirla. __________.3. Per i lavori eseguiti alla tettoia, i contribuenti avevano inoltrato il 9 dicembre 2010 la relativa domanda di costruzione al Comune di Novaggio avente per oggetto “sostituzione tettoia posteggi” e indicando quale genere di lavoro “nuova costruzione con demolizione”. Già questa descrizione nella domanda di costruzione lascia intendere che i lavori effettuati alla tettoia vanno oltre la semplice manutenzione. Non vanno nemmeno trascurate le stesse indicazioni utilizzate dalle ditte che hanno effettuato i lavori: ad esempio, la fattura dello Studio d’ingegneria e misurazioni __________ SA del 23.10.2012 indica come oggetto “tracciamento nuova edificazione al mappale n° 523”; la __________ Sagl aveva emesso il 4.11.2011 una fattura indicando fra l’altro tra le prestazioni eseguite “[…] fornitura materiali per nuova tettoia, (travi, ripartitori, undoline in vetro resina, ) rottura del muretto esistente, nuovo muro di sostegno in cemento armato, sistemazione sagomato in differenti punti, messa in opera i pali […]”; sempre la __________ Sagl il 31.10.2012 aveva chiesto ai ricorrenti un acconto per la “nuova autorimessa”, indicando che i lavori eseguiti comprendevano la “rimozione tettoia esistente, nuova fondazione, inizio muro in cemento armato”. Ciò è evidentemente anche suffragato dalla documentazione fotografica prodotta dai ricorrenti. Rispetto alla situazione precedente, caratterizzata dalla presenza di una “semplice” (e alquanto vetusta) tettoia in legno, non si può negare che vi sia stato un miglioramento qualitativo dell’opera. Ora vi è una tettoia metallica, senza pareti laterali, con un nuovo basamento in cemento armato, così come dei nuovi muri perimetrali. Diversa sarebbe stata la situazione se si fosse solamente proceduto a rinnovare o sostituire le assi in legno, la carta catramata e a sistemare il basamento, lasciando però in sostanza la struttura intatta. Irrilevante, in tale contesto, il fatto che la tettoia sia sempre stata usata quale posteggio e che quindi non vi sia stato un cambiamento di destinazione. Anche facendo astrazione da un eventuale aumento volumetrico, che a mente dai ricorrenti è stato necessario per adeguare la tettoia agli standard costruttivi attualmente vigenti, gli interventi eseguiti hanno di fatto alterato la fisionomia e l’aspetto esterno originale della tettoia. Risulta di meridiana evidenza che non si possono considerare i lavori eseguiti come semplici interventi di manutenzione. La dottrina precisa che nel caso della ricostruzione di un immobile dopo la sua demolizione, come in ispecie, sia le spese di demolizione che quelle di ricostruzione dell’edificio costituiscono delle spese d’investimento ai sensi dell’art. 34 lett. d LIFD, rispettivamente art. 33 lett. d LT ( Noël , Commentaire romand, Impôt fédéral direct, Basilea 2008, art. 32 LIFD, n. 119; cfr. anche STF 2C_63/2010 del 6 luglio 2010, consid. 2.1). Alla luce di quanto precede, la tesi dell’autorità, secondo la quale nella fattispecie si ha a che vedere con spese di miglioria (art. 33 lett. d LT e art. 34 lett. d LIFD), quindi non deducibili, e non con spese di manutenzione (art. 31 cpv. 2 LT e art. 32 cpv. 2 LIFD), merita pertanto conferma.</w:t>
      </w:r>
    </w:p>
    <w:p>
      <w:r>
        <w:rPr>
          <w:b/>
        </w:rPr>
        <w:t>E. 4.4</w:t>
      </w:r>
    </w:p>
    <w:p>
      <w:r>
        <w:t>Venendo ora ai lavori di consolidamento della scarpata, come si evince dalla documentazione fotografica prodotta dai ricorrenti, sono stati creati dei muri di sostegno che al contempo fungono da muri perimetrali e di appoggio per la tettoia. I ricorrenti hanno indicato che i lavori di consolidamento della scarpata si sono rilevati essere necessari, in quanto in precedenza, in occasione di abbondanti precipitazioni, vi erano stati alcuni disagi con smottamenti di terra. Inoltre, le piante presenti sul sedime non avevano delle radici profonde, quindi in caso di forti piogge non trattenevano la terra e vi era di conseguenza il rischio di scoscendimenti e di caduta degli alberi sulla strada, sulla tettoia, sui pali elettrici e telefonici adiacenti. Inoltre, così come per la tettoia, anche in questo caso il muro preesistente è stato completamente demolito e ne è stato creato uno nuovo in cemento armato. I lavori così descritti hanno in sostanza permesso di rendere più resistente alle intemperie la proprietà del ricorrente. Non costituiscono una mera spesa di manutenzione, che, come visto, per definizione consente unicamente di preservare lo stato di un immobile, conservarne l’uso e mantenerne la redditività, ma sono invece costi di investimento fiscalmente non deducibili (art. 33 lett. d LT e art. 34 lett. d LIFD). Anche in questo caso, il semplice confronto tra la situazione ex ante e quella successiva all’intervento non può che avvalorare la tesi che si tratta di spese di miglioria. Infine, si rileva che il rapporto, realizzato il 26 novembre 2014 (quindi quando i lavori litigiosi erano da tempo terminati) dallo studio ing. __________ SA e prodotto dai ricorrenti nell’udienza del 21 aprile 2015, concernente il deflusso delle acque superficiali e le infiltrazioni nell’abitazione dei ricorrenti indica le misure, non urgenti, da intraprendere in futuro “per impedire sia future infiltrazioni e allagamenti nell’abitazione dei ricorrenti, così come futuri cedimenti e/o franamenti del pendio e/o del bosco”. La relazione non concerne però direttamente gli interventi alla tettoia ed alla scarpata oggetto del presente litigio e pertanto non merita ulteriore disamina.</w:t>
      </w:r>
    </w:p>
    <w:p>
      <w:r>
        <w:rPr>
          <w:b/>
        </w:rPr>
        <w:t>E. 5</w:t>
      </w:r>
    </w:p>
    <w:p>
      <w:r>
        <w:t>Il ricorso è conseguentemente respinto. Tassa di giustizia e spese processuali sono a carico dei ricorrenti, soccombenti. Per questi motivi, visti per le spese gli art. 144 LIFD e 231 LT dichiara e pronuncia 1.   1.1.  Nella misura in cui si riferisce alla determinazione del valore locativo, il ricorso è privo d’oggetto . 1.2   Nella misura in cui si riferisce al riconoscimento delle spese di miglioria, il ricorso è respinto . 2.   Le spese processuali consistenti: a. nella tassa di giustizia di                                fr.    600.– b. nelle spese di cancelleria di complessivi    fr.      80.– per un totale di                                                      fr.    680.– sono a carico dei ricorrenti. 3.   Contro il presente giudizio è dato ricorso in materia di diritto pubblico al Tribunale federale in Losanna, entro 30 giorni (art. 146 LIFD; art. 73 LAID; art. 82 ss. LTF). __________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