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80.2013.158 vom 19. Juni 2013</w:t>
      </w:r>
    </w:p>
    <w:p>
      <w:r>
        <w:t>TI Tribunale d'appello, 2013-06-19, IT</w:t>
      </w:r>
    </w:p>
    <w:p>
      <w:r>
        <w:rPr>
          <w:b/>
        </w:rPr>
        <w:t xml:space="preserve">Quelle: </w:t>
      </w:r>
      <w:r>
        <w:t>https://mcp.opencaselaw.ch/entscheid/ti_gerichte_80.2013.158</w:t>
      </w:r>
    </w:p>
    <w:p>
      <w:r>
        <w:t>FR: TI_GERICHTE 80.2013.158 du 19 juin 2013</w:t>
      </w:r>
    </w:p>
    <w:p>
      <w:r>
        <w:t>IT: TI_GERICHTE 80.2013.158 del 19 giugno 2013</w:t>
      </w:r>
    </w:p>
    <w:p>
      <w:pPr>
        <w:pStyle w:val="Heading2"/>
      </w:pPr>
      <w:r>
        <w:t>Regeste</w:t>
      </w:r>
    </w:p>
    <w:p>
      <w:r>
        <w:t>Reddito della sostanza immobiliare: valore locativo, nessuna riduzione per case di "vacanza", definizione di abitazione secondaria, trasferimento del domicilio in altro cantone</w:t>
      </w:r>
    </w:p>
    <w:p>
      <w:pPr>
        <w:pStyle w:val="Heading2"/>
      </w:pPr>
      <w:r>
        <w:t>Erwägungen</w:t>
      </w:r>
    </w:p>
    <w:p>
      <w:r>
        <w:rPr>
          <w:b/>
        </w:rPr>
        <w:t>E. 1.1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Le normative cantonale e federale si differenziano fra loro quanto alle modalità di calcolo del valore locativo.</w:t>
      </w:r>
    </w:p>
    <w:p>
      <w:r>
        <w:rPr>
          <w:b/>
        </w:rPr>
        <w:t>E. 1.2</w:t>
      </w:r>
    </w:p>
    <w:p>
      <w:r>
        <w:t>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w:t>
      </w:r>
    </w:p>
    <w:p>
      <w:r>
        <w:rPr>
          <w:b/>
        </w:rPr>
        <w:t>E. 1.3</w:t>
      </w:r>
    </w:p>
    <w:p>
      <w:r>
        <w:t>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r>
        <w:rPr>
          <w:b/>
        </w:rPr>
        <w:t>E. 1.4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Dal 1° gennaio 2009 è entrato in vigore l’art. 20 cpv. 3 LT, secondo cui la riduzione di cui al capoverso 2 non è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w:t>
      </w:r>
    </w:p>
    <w:p>
      <w:r>
        <w:rPr>
          <w:b/>
        </w:rPr>
        <w:t>E. 2.1</w:t>
      </w:r>
    </w:p>
    <w:p>
      <w:r>
        <w:t>Il ricorso solleva anzitutto una questione interpretativa. Gli insorgenti ritengono infatti che non sia applicabile l’art. 20 cpv. 3 LT, per il fatto che la casa di cui si tratta non è stata acquistata per trascorrervi le vacanze, ma ha funto da abitazione primaria fino al momento del trasferimento del domicilio nel Canton __________.</w:t>
      </w:r>
    </w:p>
    <w:p>
      <w:r>
        <w:rPr>
          <w:b/>
        </w:rPr>
        <w:t>E. 2.2</w:t>
      </w:r>
    </w:p>
    <w:p>
      <w:r>
        <w:t>Sebbene i materiali legislativi siano alquanto essenziali, dallo stralcio del messaggio governativo poc’anzi citato si evince quale sia stata la ratio della modifica di legge intervenuta a partire dal periodo fiscale 2009. Il Consiglio di Stato ha infatti affermato che “il valore locativo delle residenze di vacanza deve corrispondere ai valori di mercato senza riduzioni o provvedimenti nell’ottica di favorire l’accesso alla proprietà”. Altrimenti detto, la definizione del valore locativo nella misura del “60 - 70 per cento del valore di mercato delle pigioni”, prevista dall’art. 20 cpv. 2 LT, è giustificata fra l’altro dall’obiettivo della “promozione dell’accesso alla proprietà”. Quest’ultimo obiettivo giustifica tuttavia una riduzione del valore locativo solo quando si tratta di un’abitazione primaria. In diverse occasioni, il Tribunale federale ha confermato che il fatto di incoraggiare fiscalmente la previdenza personale mediante l’accesso alla proprietà (art. 108 Cost.) costituisce una ragione plausibile per stabilire il valore locativo al di sotto del valore di mercato delle pigioni (DTF 125 I 65 consid. 3c e riferimenti citati). La stessa concezione costituzionale della promozione dell’accesso alla proprietà dell’abitazione (art. 108 Cost.) non si estende all’accesso alla proprietà di residenze secondarie, poiché ciò entrerebbe in conflitto con altri obiettivi costituzionali ed in particolare quello dell’uso parsimonioso del suolo. In questo contesto, un valore locativo ridotto per le abitazioni secondarie comporterebbe, dal profilo della politica di pianificazione del territorio, l’incentivo a lasciare le case secondarie vuote invece di cederle in locazione, rischiando di pagare imposte più elevate. È per questa ragione che le abitazioni secondarie e quelle di vacanza sono espressamente escluse dal campo di applicazione della Legge federale del 4 ottobre 1974 che promuove la costruzione d'abitazioni e l’accesso alla loro proprietà (art. 2 cpv. 3 LCAP ; RS 843; cfr. inoltre la sentenza del Tribunale federale del 12 aprile 2006, in DTF 132 I 157 = StE 2006 A 21.11 n. 46 = RF 2006, p. 658 = RDAF 2007 II 10, con riferimento a: Bericht zur Prüfung des Einsatzes des Steuerrechts für wohnungs- und bodenpolitische Ziele [Expertenkommission Locher], Berna 1994, p. 8 e p. 44) .</w:t>
      </w:r>
    </w:p>
    <w:p>
      <w:r>
        <w:rPr>
          <w:b/>
        </w:rPr>
        <w:t>E. 2.3</w:t>
      </w:r>
    </w:p>
    <w:p>
      <w:r>
        <w:t>Sebbene la scelta del legislatore cantonale, di limitare il calcolo del valore locativo in misura corrispondente al valore di mercato delle pigioni ai sol i immobili “utilizzati prevalentemente a scopo di vacanza”, non sia probabilmente la più felice, è indiscutibile che la stessa disciplina sia estesa a tutte le abitazioni secondarie.</w:t>
      </w:r>
    </w:p>
    <w:p>
      <w:r>
        <w:rPr>
          <w:b/>
        </w:rPr>
        <w:t>E. 3.1</w:t>
      </w:r>
    </w:p>
    <w:p>
      <w:r>
        <w:t>Si tratta a questo punto di stabilire se la casa di __________, di proprietà dei ricorrenti, costituisca un’abitazione primaria o secondaria. A loro avviso, si tratta di un’abitazione primaria, in quanto abitata dal figlio, che vi ha il proprio domicilio. Inoltre, anche per gli stessi proprietari non costituirebbe un’abitazione secondaria, disponendo già di una casa di vacanza nel Cantone.</w:t>
      </w:r>
    </w:p>
    <w:p>
      <w:r>
        <w:rPr>
          <w:b/>
        </w:rPr>
        <w:t>E. 3.2</w:t>
      </w:r>
    </w:p>
    <w:p>
      <w:r>
        <w:t>Il concetto di abitazione primaria si lega a quello di domicilio. I contribuenti hanno pertanto diritto all’imposizione del valore locativo ridotto rispetto al valore di mercato delle pigioni solo per quella casa o per quell’appartamento dove hanno il domicilio fiscale (cfr. per analogia DTF 138 II 105, in particolare consid. 6.3.1, con riferimento al requisito dell’”uso personale” dell’abitazione, ai fini del differimento dell’imposizione dell’utile immobiliare in caso di reinvestimento privato). Che, nella fattispecie, i ricorrenti non abbiano il domicilio fiscale a __________ non è neppure in discussione. Dal 1° gennaio 2008, infatti, lo hanno trasferito a __________ (__________). Inevitabile è allora la conclusione che nel Canton Ticino dispongono solo di abitazioni secondarie.</w:t>
      </w:r>
    </w:p>
    <w:p>
      <w:r>
        <w:rPr>
          <w:b/>
        </w:rPr>
        <w:t>E. 3.3</w:t>
      </w:r>
    </w:p>
    <w:p>
      <w:r>
        <w:t>Non basta neppure che il figlio __________ vi abbia mantenuto il domicilio, dopo il loro trasferimento nel Canton __________. Ciò che è determinante è effettivamente il domicilio del contribuente stesso e non anche quello di un suo familiare, poiché altrimenti si finirebbe per ammettere la possibilità che una persona abbia diverse abitazioni primarie, cosa che potrebbe facilmente dare luogo ad abusi. Come già ammesso dal Tribunale federale, d’altronde, si deve parlare di uso proprio ai sensi degli art. 20 cpv. 1 LT e 21 cpv. 1 LIFD non solo quando il proprietario di una casa la occupa personalmente, ma anche quando ne concede l’uso gratuito a una terza persona, senza chiedergli un corrispettivo (sentenza TF n. 2A.508/2001 del 26 giugno 2002, in: RF 2002 p. 564; cfr. anche Merlino , in: Yersin/Noël [a cura di], Commentaire de la loi sur l’impôt fédéral direct, Basilea 2008, n. 86 ad art. 21 LIFD, p. 370). In questi casi, tra le parti sorge, per atti concludenti e in forma tacita, un contratto di comodato ai sensi dell’art. 305 CO, che fiscalmente ha il carattere di una donazione. Il proprietario deve quindi lasciarsi imputare il valore locativo dell’immobile, mentre la terza persona soggiace all’imposta di donazione, sempreché non ricada in una fattispecie di esenzione soggettiva prevista dall’art. 154 lett. f LT (cfr. anche la sentenza CDT n. 80.2011.113 del 18 gennaio 2012, consid. 2.2.).</w:t>
      </w:r>
    </w:p>
    <w:p>
      <w:r>
        <w:rPr>
          <w:b/>
        </w:rPr>
        <w:t>E. 3.4</w:t>
      </w:r>
    </w:p>
    <w:p>
      <w:r>
        <w:t>Alla stessa conclusione si dovrebbe pervenire, del resto, anche considerando l’esistenza di un contratto di locazione con il figlio. A tale proposito, il Tribunale federale (sentenza del 28 gennaio 2005, n. 2A.535/2003, in ASA 76 p. 204 = RF 2005 p. 500 = StE 2005 B 25.2 n. 7 = RDAF 2005 II 219) ha stabilito che, quando la pigione convenuta in un semplice contratto di locazione è inferiore al valore locativo ed il proprietario stesso non gode di alcun diritto di utilizzare l’immobile, manca una base legale che permetta di imporre la differenza fra la pigione effettivamente percepita ed il valore locativo più elevato. Le autorità fiscali devono dunque fondarsi sui contratti stipulati dalle parti, con la sola eccezione del caso in cui si sia in presenza di un’elusione fiscale, cioè se il contribuente abbia adottato una condotta insolita al solo scopo di conseguire un risparmio d’imposta abusivo. Quando la pigione è al di sotto della metà del valore locativo, si deve supporre – a prescindere dalla volontà di fare una donazione – che si tratti di una situazione simile a quella dell’uso proprio e che il contratto di locazione sia stato concluso in modo elusivo al solo scopo di evitare imposte che avrebbero dovuto essere pagate seguendo un corretto svolgimento dei rapporti. Anche in tal caso è comunque ammessa la prova che un’elusione fiscale, nonostante la presunzione, non vi è stata. Nella fattispecie, l’importo pagato dal figlio __________ ai genitori, pari a 200 franchi al mese, appare più come un contributo alle spese che come una pigione. Del resto, gli stessi contribuenti non dichiarano tale importo come reddito della sostanza immobiliare, ma indicano il valore locativo, supponendo quindi un uso proprio. Comunque, se la somma in questione costituisse una pigione, non ha bisogno di essere dimostrato che sarebbe nettamente inferiore al valore locativo della casa.</w:t>
      </w:r>
    </w:p>
    <w:p>
      <w:r>
        <w:rPr>
          <w:b/>
        </w:rPr>
        <w:t>E. 3.5</w:t>
      </w:r>
    </w:p>
    <w:p>
      <w:r>
        <w:t>Sempre restando entro quest’ultima ipotesi, il Tribunale federale ha già avuto occasione di affermare che, in presenza di una locazione di favore fra parenti, che giustifica l’imposizione della differenza fra la pigione effettivamente percepita ed il valore locativo più elevato, il proprietario non può pretendere che quale valore locativo sia preso in considerazione quello ridotto, previsto dal diritto cantonale per l’abitazione primaria. Infatti, l’agevolazione prevista dalla legge cantonale è dettata dallo scopo di incentivare l’accesso alla proprietà dell’abitazione ed anche la previdenza individuale, scopo che non viene perseguito quando si cede in locazione un immobile ad un terzo, per quanto si tratti di un parente (cfr. la sentenza del 26 giugno 2008, n. 2C_188/2007, in RF 63/2008 p. 638, consid. 3.2).</w:t>
      </w:r>
    </w:p>
    <w:p>
      <w:r>
        <w:rPr>
          <w:b/>
        </w:rPr>
        <w:t>E. 3.6</w:t>
      </w:r>
    </w:p>
    <w:p>
      <w:r>
        <w:t>Alla luce delle considerazioni che precedono, la decisione impugnata deve essere confermata, nella misura in cui ha ritenuto che il valore locativo da attribuire alla casa di __________ debba essere calcolato applicando l’art. 20 cpv. 3 LT.</w:t>
      </w:r>
    </w:p>
    <w:p>
      <w:r>
        <w:rPr>
          <w:b/>
        </w:rPr>
        <w:t>E. 4.1</w:t>
      </w:r>
    </w:p>
    <w:p>
      <w:r>
        <w:t>Per quanto riguarda le modalità di determinazione del valore locativo, secondo l’art. 2 del Decreto esecutivo del 21 dicembre 2010 concernente l’imposizione delle persone fisiche valido per il periodo fiscale 2011 (RL 10.2.2.1.1),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4.2</w:t>
      </w:r>
    </w:p>
    <w:p>
      <w:r>
        <w:t>In una sentenza di principio del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5.1</w:t>
      </w:r>
    </w:p>
    <w:p>
      <w:r>
        <w:t>Venendo al calcolo del valore locativo, a sua volta contestato in via subordinata dai ricorrenti, l’Ufficio di tassazione lo ha determinato partendo da quello stabilito nella tassazione dei periodi fiscali precedenti (fr. 14’552.–), che ha considerato pari al 70% del valore di mercato. Ha quindi diviso tale importo per 70 ed ha poi moltiplicato il risultato per 100. L’importo così determinato (arrotondato a fr. 20’790.–) corrisponderebbe in tal modo al valore di mercato, senza la riduzione riconosciuta ai proprietari di abitazioni primarie.</w:t>
      </w:r>
    </w:p>
    <w:p>
      <w:r>
        <w:rPr>
          <w:b/>
        </w:rPr>
        <w:t>E. 5.2</w:t>
      </w:r>
    </w:p>
    <w:p>
      <w:r>
        <w:t>Ora, il problema è che l’importo, che l’autorità fiscale ha considerato pari al 70% del valore di mercato e sulla cui base ha quindi proceduto al calcolo del valore locativo dei ricorrenti, è stato accertato applicando la prassi che, come l’Ufficio di tassazione non poteva non sapere, era già stata ripetutamente considerata illegale. Ne viene che anche il risultato del calcolo in questione è viziato dall’illegalità del criterio adottato a tal fine. Altrimenti si dovrebbe ammettere che basti riportare il valore di partenza ai 100/70 per renderlo conforme alla legge.</w:t>
      </w:r>
    </w:p>
    <w:p>
      <w:r>
        <w:rPr>
          <w:b/>
        </w:rPr>
        <w:t>E. 5.3</w:t>
      </w:r>
    </w:p>
    <w:p>
      <w:r>
        <w:t>La decisione impugnata è pertanto annullata e gli atti sono rinviati all’autorità fiscale perché determini il valore locativo dell’abitazione di vacanza dei ricorrenti, in modo rispettoso della legge applicabile e dei principi costituzionali.</w:t>
      </w:r>
    </w:p>
    <w:p>
      <w:r>
        <w:rPr>
          <w:b/>
        </w:rPr>
        <w:t>E. 6</w:t>
      </w:r>
    </w:p>
    <w:p>
      <w:r>
        <w:t>Visto l’esito del ricorso, non si prelevano né tassa di giustizia né spese processuali. Per questi motivi, visti per le spese gli art. 144 LIFD e 231 LT dichiara e pronuncia 1.   La decisione su reclamo del 19 giugno 2013 è annullata e gli atti sono rinviati all’Ufficio di tassazione di Bellinzona, perché accerti il valore locativo della casa di __________. 2.   Non si prelevano né tassa di giustizia né spese processuali.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