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80.2013.114 vom 25. Februar 2015</w:t>
      </w:r>
    </w:p>
    <w:p>
      <w:r>
        <w:t>TI Tribunale d'appello, 2015-02-25, IT</w:t>
      </w:r>
    </w:p>
    <w:p>
      <w:r>
        <w:rPr>
          <w:b/>
        </w:rPr>
        <w:t xml:space="preserve">Quelle: </w:t>
      </w:r>
      <w:r>
        <w:t>https://mcp.opencaselaw.ch/entscheid/ti_gerichte_80.2013.114</w:t>
      </w:r>
    </w:p>
    <w:p>
      <w:r>
        <w:t>FR: TI_GERICHTE 80.2013.114 du 25 février 2015</w:t>
      </w:r>
    </w:p>
    <w:p>
      <w:r>
        <w:t>IT: TI_GERICHTE 80.2013.114 del 25 febbraio 2015</w:t>
      </w:r>
    </w:p>
    <w:p>
      <w:pPr>
        <w:pStyle w:val="Heading2"/>
      </w:pPr>
      <w:r>
        <w:t>Regeste</w:t>
      </w:r>
    </w:p>
    <w:p>
      <w:r>
        <w:t>Procedura: competenza territoriale, imposta federale diretta, unità del luogo di tassazione, vendita di immobili situati in un cantone diverso da quello del domicilio, giudizio divergente da quello dell’autorità del cantone di situazione</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2.1</w:t>
      </w:r>
    </w:p>
    <w:p>
      <w:r>
        <w:t>Venendo al caso in esame, i ricorrenti contestano in primo luogo che le operazioni immobiliari costituiscano un’attività lucrativa indipendente di carattere accessorio. Dalla motivazione delle decisioni impugnate non è tuttavia possibile rilevare le motivazioni su cui si è fondata la qualifica delle operazioni come commercio professionale. Se le decisioni di tassazione del 22 agosto 2012 non contenevano alcuna motivazione, quelle adottate in seguito al reclamo si limitano a fare riferimento ad un’audizione del 6 marzo 2013, durante la quale “è stato ribadito al fiduciario che il signor RI 1 è considerato a tutti gli effetti un commerciante di professionale di immobili dal 2007 e imposto in Ticino secondo l’art. 18 cpv. 1 LIFD, anche se gli immobili sono stati venduti nel canton Grigioni”. Quali siano gli elementi su cui si è fondata tale decisione rimane tuttavia inespresso. Le decisioni proseguono proponendo il calcolo del reddito dell’attività lucrativa indipendente assoggettato all’imposta federale diretta e si concludono con l’affermazione che “questo ufficio è convinto che vi siano le condizioni sufficienti per imporre il contribuente come commerciante professionale di immobili dal 2007”, cosa che sarebbe confermata anche dal libro “La fiscalità dell’azienda” di Norberto Bernardoni e Pietro Bortolotto.</w:t>
      </w:r>
    </w:p>
    <w:p>
      <w:r>
        <w:rPr>
          <w:b/>
        </w:rPr>
        <w:t>E. 2.2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2.3</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2.4</w:t>
      </w:r>
    </w:p>
    <w:p>
      <w:r>
        <w:t>Nella fattispecie, né le prime decisioni di tassazione, oggetto di reclamo, né nel seguito le decisioni su reclamo, oggetto del presente gravame, contengono alcuna motivazione conforme alle esigenze indicate. L’Ufficio di tassazione non ha infatti esposto gli argomenti che, secondo la citata giurisprudenza del Tribunale federale, l’hanno condotto a ritenere che le plusvalenze conseguite con le operazioni immobiliari compiute nel Canton __________ non costituiscano utili in capitale esenti dall’imposta federale diretta bensì redditi dell’attività lucrativa indipendente. Questa carenza è particolarmente censurabile pensando all’entità del reddito imposto nel periodo fiscale 2007. Non basta certo, a supplire tale mancanza, il riferimento ad una pubblicazione che tratta in generale l’argomento e che, come tale, non permette di ravvisare i presupposti sui quali l’autorità fiscale, nel caso concreto, ha concluso che le transazioni litigiose sono imponibili. La motivazione della decisione su reclamo qui impugnata non rispetta pertanto le esigenze della legge tributaria e del diritto costituzionale di essere sentito e va pertanto annullata, senza la necessità di entrare nel merito degli argomenti dei ricorrenti, che concernono la qualifica delle operazioni come commercio professionale di immobili. Deve ancora essere sottolineato che l’autorità di tassazione non ha neppure provveduto a sanare il vizio della sua precedente decisione, presentando perlomeno delle osservazioni al ricorso più dettagliate. In tal modo, avrebbe eventualmente messo i ricorrenti in condizione di valutare se fosse opportuno mantenere il ricorso oppure ritirarlo.</w:t>
      </w:r>
    </w:p>
    <w:p>
      <w:r>
        <w:rPr>
          <w:b/>
        </w:rPr>
        <w:t>E. 3.1</w:t>
      </w:r>
    </w:p>
    <w:p>
      <w:r>
        <w:t>Nonostante l’annullamento della decisione sulla questione principale, si può nondimeno aggiungere che le altre due censure sollevate con il ricorso non sono pertinenti. La seconda riguarda la circostanza che l’autorità fiscale ticinese si sia discostata dalla valutazione intrapresa, ai fini dell’assoggettamento all’imposta cantonale sugli utili immobiliari, dall’autorità fiscale del cantone di situazione degli immobili. Quest’ultima, applicando le disposizioni del diritto cantonale, avrebbe infatti concluso che gli immobili alienati rientravano nella sostanza privata dei contribuenti. Tale conclusione vincolerebbe, secondo gli insorgenti, l’Ufficio di tassazione di __________.</w:t>
      </w:r>
    </w:p>
    <w:p>
      <w:r>
        <w:rPr>
          <w:b/>
        </w:rPr>
        <w:t>E. 3.2</w:t>
      </w:r>
    </w:p>
    <w:p>
      <w:r>
        <w:t>Secondo l’art. 105 cpv. 1 LIFD, le autorità cantonali riscuotono l'imposta federale diretta presso le persone fisiche che, alla fine del periodo fiscale o dell'assoggettamento fiscale, hanno domicilio fiscale in Svizzera o, in mancanza del medesimo, hanno dimora fiscale nel Cantone. Sono fatti salvi gli articoli 3 capoverso 5 e 107. La competenza per riscuotere l’imposta federale diretta da parte di un cantone, nel quale esiste solo un’appartenenza economica (art. 106 LIFD), trova applicazione unicamente quando un contribuente non è assoggettato per appartenenza personale in un altro cantone svizzero (cfr. la sentenza del Tribunale federale dell’8 settembre 2004 n. 2A.74/2003, in StE 2004 B 91.3 n. 4, consid. 2.1). Nel diritto dell’imposta federale diretta vige infatti il principio dell’unità del luogo di tassazione. Per evitare un frazionamento della tassazione dell’imposta federale diretta, il contribuente viene sottoposto a tassazione per l’intero reddito imponibile in Svizzera in un unico cantone (cfr. le sentenze del Tribunale federale del 26 ottobre 2006 n. 2A.241/2006 , in RF 62/2007 p. 127, consid. 2.1; StE 2004 B 91.3 n. 4, consid. 2.1; 2A.209/1988 del 17 aprile 1989, in ASA 59 p. 636, consid. 2a). Ne consegue che, se un cantone sottopone all’imposta federale diretta un contribuente che vi è imponibile solo per appartenenza economica, sebbene abbia l’appartenenza personale in un altro cantone, si verifica una incompetenza territoriale, per violazione delle disposizioni sulla competenza del diritto federale. L’adozione di una decisione di tassazione da parte di un’autorità fiscale incompetente comporta di solito la sua nullità (RF 62/2007 p. 127, consid. 2.2; StE 2004 B 91.3 n. 4, consid. 2.1; 2A.209/1988 del 17 aprile 1989, in ASA 59 p. 636, consid. 2c) .</w:t>
      </w:r>
    </w:p>
    <w:p>
      <w:r>
        <w:rPr>
          <w:b/>
        </w:rPr>
        <w:t>E. 3.3</w:t>
      </w:r>
    </w:p>
    <w:p>
      <w:r>
        <w:t>Durante i periodi fiscali in questione, i contribuenti erano domiciliati a __________, con la conseguenza che l’autorità fiscale ticinese era l’autorità competente in materia di imposta federale diretta (art. 105 cpv. 1 LIFD). Per la tassazione dell’imposta federale diretta, il Canton __________ non aveva di conseguenza alcuna competenza, dipendente dall’appartenenza economica. Essendo l’autorità fiscale del Canton Ticino competente per definire il reddito imponibile in materia di imposta federale diretta, l’eventuale qualifica di utile in capitale conseguito nella realizzazione della sostanza privata, ritenuta dalle autorità grigionesi, non gioca alcun ruolo. Le autorità ticinesi, nell’ambito dell’IFD, sono libere di giungere ad una conclusione che differisce da quella delle autorità fiscali grigionesi in materia di imposta cantonale.</w:t>
      </w:r>
    </w:p>
    <w:p>
      <w:r>
        <w:rPr>
          <w:b/>
        </w:rPr>
        <w:t>E. 4.1</w:t>
      </w:r>
    </w:p>
    <w:p>
      <w:r>
        <w:t>I ricorrenti lamentano infine la violazione del principio di divieto di discriminazione e l’esistenza di una doppia imposizione virtuale.</w:t>
      </w:r>
    </w:p>
    <w:p>
      <w:r>
        <w:rPr>
          <w:b/>
        </w:rPr>
        <w:t>E. 4.2</w:t>
      </w:r>
    </w:p>
    <w:p>
      <w:r>
        <w:t>Una doppia imposizione contraria all’art. 127 cpv. 3 Cost. fed. si realizza quando un contribuente è tassato da due o più cantoni sullo stesso oggetto per il medesimo periodo di tempo (doppia imposizione attuale) oppure quando un cantone eccede i limiti della propria sovranità fiscale e, violando norme che regolano i casi di conflitto, preleva un’imposta che compete ad un altro cantone (doppia imposizione virtuale). Inoltre un cantone non può tassare in maggior misura un contribuente per il solo fatto che non soggiace esclusivamente alla sua sovranità fiscale, ma è imponibile anche in un altro cantone (divieto di discriminazione; cfr. DTF 134 I 303 consid. 2.1.; 133 I 19 consid. 2.1; 132 I 29 consid. 2.1).</w:t>
      </w:r>
    </w:p>
    <w:p>
      <w:r>
        <w:rPr>
          <w:b/>
        </w:rPr>
        <w:t>E. 4.3</w:t>
      </w:r>
    </w:p>
    <w:p>
      <w:r>
        <w:t>La doppia imposizione virtuale ed il divieto di discriminazione dall’art. 127 cpv. 3 Cost. fed. riguardano unicamente i casi in cui vi è un conflitto di imposte cantonali. I ricorrenti sono stati imposti a livello cantonale dalle autorità di tassazione del canton __________. Le autorità ticinesi hanno agito, come precisato sopra, nell’ambito delle proprie competenze per stabilire il reddito imponibile per l’IFD. Non vi è dunque nessun conflitto che permetta di applicare questa disposizione. Per questi motivi, visto per le spese l’art. 144 LIFD dichiara e pronuncia 1.   Le decisioni su reclamo del</w:t>
      </w:r>
    </w:p>
    <w:p>
      <w:r>
        <w:rPr>
          <w:b/>
        </w:rPr>
        <w:t>E. 5</w:t>
      </w:r>
    </w:p>
    <w:p>
      <w:r>
        <w:t>aprile 2015 sono annullate e gli atti sono rinviati all’Ufficio di tassazione, perché adotti nuove decisioni motivate. 2.   Le spese processuali consistenti: a. nella tassa di giustizia di                                fr. 3’600.– b. nelle spese di cancelleria di complessivi    fr.    180.– per un totale di                                                      fr. 3’780.– sono a carico del ricorrente nella misura di un terzo (fr.1'260.–). 3.   Contro il presente giudizio è dato ricorso in materia di diritto pubblico al Tribunale federale in Losanna, entro 30 giorni (art. 146 LIFD; art. 82 ss. LTF). 4.__________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