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80.2012.193 vom 3. September 2012</w:t>
      </w:r>
    </w:p>
    <w:p>
      <w:r>
        <w:t>TI Tribunale d'appello, 2012-09-03, IT</w:t>
      </w:r>
    </w:p>
    <w:p>
      <w:r>
        <w:rPr>
          <w:b/>
        </w:rPr>
        <w:t xml:space="preserve">Quelle: </w:t>
      </w:r>
      <w:r>
        <w:t>https://mcp.opencaselaw.ch/entscheid/ti_gerichte_80.2012.193</w:t>
      </w:r>
    </w:p>
    <w:p>
      <w:r>
        <w:t>FR: TI_GERICHTE 80.2012.193 du 3 septembre 2012</w:t>
      </w:r>
    </w:p>
    <w:p>
      <w:r>
        <w:t>IT: TI_GERICHTE 80.2012.193 del 3 settembre 2012</w:t>
      </w:r>
    </w:p>
    <w:p>
      <w:pPr>
        <w:pStyle w:val="Heading2"/>
      </w:pPr>
      <w:r>
        <w:t>Regeste</w:t>
      </w:r>
    </w:p>
    <w:p>
      <w:r>
        <w:t>Violazione degli obblighi procedurali: multa disciplinare, mancato inoltro della dichiarazione, assenza per ferie all’estero al momento dell’intimazione della diffida</w:t>
      </w:r>
    </w:p>
    <w:p>
      <w:pPr>
        <w:pStyle w:val="Heading2"/>
      </w:pPr>
      <w:r>
        <w:t>Erwägungen</w:t>
      </w:r>
    </w:p>
    <w:p>
      <w:r>
        <w:rPr>
          <w:b/>
        </w:rPr>
        <w:t>E. 1.1</w:t>
      </w:r>
    </w:p>
    <w:p>
      <w:r>
        <w:t>Chiunque, nonostante diffida , viola intenzionalmente o per negligenza un obbligo che gli incombe giusta la LT e la LIFD oppure una disposizione presa in applicazione di queste ultime, in particolare non consegna la dichiarazione d’imposta o gli allegati, non adempie all’obbligo di fornire attestazioni, informazioni o comunicazioni, viola gli obblighi che gli incombono come erede o terzo nella procedura di inventario, è punito con la multa di        fr. 1'000.– al massimo e, in casi gravi o di recidiva, di fr. 10'000.– al massimo (art. 257 LT e 174 LIFD).</w:t>
      </w:r>
    </w:p>
    <w:p>
      <w:r>
        <w:rPr>
          <w:b/>
        </w:rPr>
        <w:t>E. 1.2</w:t>
      </w:r>
    </w:p>
    <w:p>
      <w:r>
        <w:t>Perché l’autorità fiscale possa infliggere una multa, devono quindi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2/3 - 1995, p. 766; Idem, Le norme penali delle nuove leggi sulle imposte dirette, in: RDAT II-1996 p. 483; Agner/Jung/Steinmann , Kommentar zum Gesetz über die direkte Bundessteuer, Zurigo, 1995, p. 472).</w:t>
      </w:r>
    </w:p>
    <w:p>
      <w:r>
        <w:rPr>
          <w:b/>
        </w:rPr>
        <w:t>E. 1.3</w:t>
      </w:r>
    </w:p>
    <w:p>
      <w:r>
        <w:t>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w:t>
      </w:r>
    </w:p>
    <w:p>
      <w:r>
        <w:rPr>
          <w:b/>
        </w:rPr>
        <w:t>E. 2.1</w:t>
      </w:r>
    </w:p>
    <w:p>
      <w:r>
        <w:t>Nella fattispecie, il ricorrente ha indiscutibilmente commesso l’infrazione sanzionata dall’Ufficio di tassazione di Lugano-Campagna. Egli ha infatti consegnato la dichiarazione fiscale solo il 3 settembre 2012, dopo cioè aver ricevuto la multa disciplinare qui in discussione e ben oltre il termine di 20 venti giorni attribuitogli con la diffida del 17 luglio 2012. A nulla valgono invece le censure sollevate nel gravame, ed in particolare l’inopportuna scelta della data di invio della diffida – nel bel mezzo dell’estate – e il breve termine concessogli per produrre la documentazione richiesta. In primo luogo perché la sequenza temporale di intimazione degli atti è una diretta conseguenza del comportamento reprensibile dello stesso ricorrente, che non ha presentato la dichiarazione d’imposta – che andava ritornata debitamente compilata entro il 30 aprile 2012 – nemmeno dopo un primo richiamo del 15 maggio 2012, senza peraltro mai richiedere una proroga. In secondo luogo poiché il termine di 20 giorni contenuto nella diffida del 17 luglio 2012, il cui recapito doveva essere atteso, va ancora considerato un “congruo termine” ai sensi degli art. 198 cpv. 3 LT e 124 cpv. 3 LIFD, trattandosi dell’ennesimo invito a voler produrre la documentazione richiesta. In simili circostanze, nessuna negligenza è imputabile all’autorità di tassazione, dalla quale non si può certo pretendere che abbia l’obbligo di verificare la presenza o meno dei contribuenti prima di intimare una diffida o qualsiasi altro atto.</w:t>
      </w:r>
    </w:p>
    <w:p>
      <w:r>
        <w:rPr>
          <w:b/>
        </w:rPr>
        <w:t>E. 2.2</w:t>
      </w:r>
    </w:p>
    <w:p>
      <w:r>
        <w:t>Una deroga potrebbe essere ammessa solo in presenza di un motivo di restituzione in intero del termine, vale a dire se fosse provato che la sua inosservanza era da attribuire a servizio militare o a servizio civile, a malattia, ad assenza dal cantone o altri gravi motivi riguardanti il contribuente o il suo rappresentante (art. 192 cpv. 5 LT; art. 133 cpv. 3 LIFD). Come più volte precisato dal Tribunale federale, deve trattarsi di un motivo che non era prevedibile (ASA 61 p. 523), mentre una colpa da parte del richiedente o del suo rappresentante esclude, di principio, la restituzione del termine (ASA 60 p. 630 = RF 1992 p. 220; inoltre DTF 106 II 173). Anche sotto questo ristretto profilo, la decisione contestata rimane pertanto ineccepibile. Per costante giurisprudenza, un soggiorno preventivato all’estero non costituisce motivo di restituzione del termine, così come non costituisce motivo di restituzione una partenza per ferie del tutto prevedibile. Per evidenti ragioni, il contribuente ha l’obbligo di predisporre la propria assenza, organizzandosi in modo tale che le comunicazioni possano raggiungerlo anche durante la prevista vacanza (CDT n. 80.1997.85 del 3 settembre 1997).</w:t>
      </w:r>
    </w:p>
    <w:p>
      <w:r>
        <w:rPr>
          <w:b/>
        </w:rPr>
        <w:t>E. 2.3</w:t>
      </w:r>
    </w:p>
    <w:p>
      <w:r>
        <w:t>Da ultimo, contrariamente a quanto sembra sostenere il ricorrente, le date indicate dall’Ufficio di tassazione nelle proprie osservazioni del 21 settembre 2012 sono solo apparentemente contraddittorie. Dall’esame del tracciamento degli invii postali (estratto Track &amp; Trace ) risulta infatti che la diffida (datata 17 luglio 2012) è stata in realtà spedita il 19 luglio e recapitata il giorno successivo, mentre la multa disciplinare (datata 17 agosto 2012) è stata spedita il 20 agosto e recapitata il giorno seguente. Alla pari delle lettere raccomandate, gli invii tramite posta A plus consentono infatti la verifica della data di recapito, essendo muniti di un numero, o meglio di un codice a barre, che permette al mittente di seguire elettronicamente lo stato di avanzamento dell’invio direttamente su internet. Come già confermato dal Tribunale federale, con tale sistema è pertanto possibile comprovare il giorno in cui l’invio postale viene recapitato nella cassetta delle lettere e nella casella postale del contribuente, ovvero il giorno in cui entra nella sfera di potere del contribuente (decisione TF n. 2C_430/2009 del 14 gennaio 2010; v. anche Vorpe , Nulla poena sine… diffida!, in: Novità fiscali, Centro di competenze tributarie della SUPSI, giugno 2012, p. 20). Ciò basta a dimostrare la regolare notificazione di un atto e conseguentemente la decorrenza dei termini ( art. 192 LT; art. 133 LIFD ), indipendentemente dalla presenza del destinatario.</w:t>
      </w:r>
    </w:p>
    <w:p>
      <w:r>
        <w:rPr>
          <w:b/>
        </w:rPr>
        <w:t>E. 3</w:t>
      </w:r>
    </w:p>
    <w:p>
      <w:r>
        <w:t>Alla luce di tutte le considerazioni che precedono, il ricorso è respinto. Tassa di giustizia e spese processuali sono poste a carico del ricorrente, soccombente. Per questi motivi, visti per le spese gli art. 144 LIFD e 231 LT dichiara e pronuncia 1.   Il ricorso è respinto . 2.   Le spese processuali consistenti: a. nella tassa di giustizia di                                  fr.    200.– b. nelle spese di cancelleria di complessivi       fr.       80.– per un totale di                                                       fr.    280 .– sono a carico del ricorrente. 3.   Contro il presente giudizio è dato ricorso in materia di diritto pubblico al Tribunale federale in Losanna, entro 30 giorni (art. 146 LIFD; art. 73 LAID; art. 82 ss. LTF). 4.   Intimazione a: -   ;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