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80.2012.12 vom 9. Dezember 2011</w:t>
      </w:r>
    </w:p>
    <w:p>
      <w:r>
        <w:t>TI Tribunale d'appello, 2011-12-09, IT</w:t>
      </w:r>
    </w:p>
    <w:p>
      <w:r>
        <w:rPr>
          <w:b/>
        </w:rPr>
        <w:t xml:space="preserve">Quelle: </w:t>
      </w:r>
      <w:r>
        <w:t>https://mcp.opencaselaw.ch/entscheid/ti_gerichte_80.2012.12</w:t>
      </w:r>
    </w:p>
    <w:p>
      <w:r>
        <w:t>FR: TI_GERICHTE 80.2012.12 du 9 décembre 2011</w:t>
      </w:r>
    </w:p>
    <w:p>
      <w:r>
        <w:t>IT: TI_GERICHTE 80.2012.12 del 9 dicembre 2011</w:t>
      </w:r>
    </w:p>
    <w:p>
      <w:pPr>
        <w:pStyle w:val="Heading2"/>
      </w:pPr>
      <w:r>
        <w:t>Regeste</w:t>
      </w:r>
    </w:p>
    <w:p>
      <w:r>
        <w:t>Assoggettamento limitato: persona giuridica, stabilimento d’impresa, assicurazione contro le malattie, esenzione assicurazioni sociali, succursale di una fondazione che gestisce anche polizze di assicurazione complementare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La ricorrente ha esplicitamente escluso di contestare il criterio di ripartizione dell’utile, adottato con le decisioni impugnate, così come le cifre indicate. Ne consegue che il ricorso è integralmente respinto. Tassa di giustizia e spese processuali sono a carico della ricorrente, soccombente. Per questi motivi, visto per le spese l’art. 231 LT dichiara e pronuncia 1.   Il ricorso è respinto . 2.   Le spese processuali consistenti: a. nella tassa di giustizia di                                fr. 6'000.– b. nelle spese di cancelleria di complessivi    fr.    100.– per un totale di                                                      fr. 6’100.– sono a carico della ricorrente. 3.   Contro il presente giudizio è dato ricorso in materia di diritto pubblico al Tribunale federale in Losanna, entro 30 giorni (art. 73 LAID; art. 82 ss. LTF). 4.   Intimazione a: __________ Copia per conoscenza: - municipio di. per la Camera di diritto tributario del Tribunale d’appello Il presidente: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