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80.2011.75 vom 26. April 2011</w:t>
      </w:r>
    </w:p>
    <w:p>
      <w:r>
        <w:t>TI Tribunale d'appello, 2011-04-26, IT</w:t>
      </w:r>
    </w:p>
    <w:p>
      <w:r>
        <w:rPr>
          <w:b/>
        </w:rPr>
        <w:t xml:space="preserve">Quelle: </w:t>
      </w:r>
      <w:r>
        <w:t>https://mcp.opencaselaw.ch/entscheid/ti_gerichte_80.2011.75</w:t>
      </w:r>
    </w:p>
    <w:p>
      <w:r>
        <w:t>FR: TI_GERICHTE 80.2011.75 du 26 avril 2011</w:t>
      </w:r>
    </w:p>
    <w:p>
      <w:r>
        <w:t>IT: TI_GERICHTE 80.2011.75 del 26 aprile 2011</w:t>
      </w:r>
    </w:p>
    <w:p>
      <w:pPr>
        <w:pStyle w:val="Heading2"/>
      </w:pPr>
      <w:r>
        <w:t>Regeste</w:t>
      </w:r>
    </w:p>
    <w:p>
      <w:r>
        <w:t>Procedura: ricorso, acquiescenza dell'autorità fiscale resistente, proposta di accoglimento del ricorso, non revoca della decisione</w:t>
      </w:r>
    </w:p>
    <w:p>
      <w:pPr>
        <w:pStyle w:val="Heading2"/>
      </w:pPr>
      <w:r>
        <w:t>Erwägungen</w:t>
      </w:r>
    </w:p>
    <w:p>
      <w:r>
        <w:rPr>
          <w:b/>
        </w:rPr>
        <w:t>E. 20</w:t>
      </w:r>
    </w:p>
    <w:p>
      <w:r>
        <w:t>giugno 2011, “azzerando la quota d’imposta della ricorrente e attribuendo il complessivo del dovuto al marito”; -   a tale proposito, va ricordato che il ricorso alla Camera di diritto tributario ha effetto devolutivo (cfr. Känzig/Behnisch , Die direkte Bundessteuer, 2 a ediz., III vol., Basilea, 1992, n. 1 ad art. 109 DIFD, pp. 268-269; Cavelti , in: Zweifel/Athanas [a cura di], Kommentar zum schweizerischen Steuerrecht, vol. I/2b, Basilea/Ginevra/Monaco, 2000, n. 2 ad art. 140 LIFD, p. 361; Meister , Rechtsmittelsystem der Steuerharmonisierung – Der Rechtsschutz nach StHG und DBG, Berna, 1995, p. 161); -   ciò significa che, dal momento in cui il ricorso è pendente davanti all’autorità di ricorso, la competenza a trattare la causa è integralmente trasferita a quest’ultima, la quale può a tal fine ordinare tutte le misure di inchiesta e tutti i mezzi di prova che le appaiono utili o necessari per una precisa definizione della fattispecie che le è stata sottoposta e per una corretta applicazione delle norme fiscali ( Känzig/Behnisch , loc. cit.); -   all’autorità di tassazione è conseguentemente preclusa una riconsiderazione della sua decisione di tassazione ( Meister , op. cit., p. 25; Cavelti , loc. cit.); -   è vero che il Tribunale federale ammette che l'autorità di tassazione possa in generale, senza che debbano essere soddisfatte delle condizioni particolari, ritornare su una propria decisione fintantoché il termine d'impugnazione non sia scaduto, ma ciò vale solo per il caso in cui la decisione stessa sia incontestata, cioè non sia stata impugnata, in particolare dallo stesso contribuente (DTF 121 II 273 = StE 1996 B 93.4 N. 3 = ASA 64 p. 575 = RDAF 53/1997 p. 180 = RF 52/1997 p. 74); -   del resto, la procedura di ricorso prevede espressamente che i ricorsi siano trasmessi all’autorità fiscale, che invia gli atti e che ha la facoltà di chiedere, entro il termine di trenta giorni, di poter presentare delle osservazioni scritte (art. 228 cpv. 2 LT); -   analogamente la legge federale dispone che l’autorità giudiziaria chieda a quella di tassazione di pronunciarsi e di trasmetterle gli atti (art. 142 cpv. 1 prima frase LIFD); -   è quindi chiaro che, quando l’autorità di tassazione ritenga, alla luce del ricorso, di essere d’accordo con il contribuente, dovrà formulare le proprie osservazioni scritte, proponendo l’accogli-mento del gravame; -   all’autorità di tassazione è per contro preclusa una revoca della decisione impugnata; -   di conseguenza, come ha ancora recentemente ricordato il Tribunale federale, un'eventuale acquiescenza a posteriori può venir considerata come una proposta di accoglimento dell'impugnativa (cfr. sentenza del 7 luglio 2008, n. 2C_162/2008, consid. 5.2.2); -   ne consegue che l’Ufficio di tassazione non può annullare la propria decisione; -   la lettera dell’Ufficio di tassazione deve così essere interpretata come un’adesione al ricorso; -   non vi è ragione di non seguire tale proposta dell’autorità di tassazione: considerando il fatto che l’oggetto sostitutivo è stato acquistato unicamente dalla ricorrente e non anche dal marito, è solo lei che può beneficiare del differimento dell’imposizione dell’utile immobiliare per reinvestimento nell’abitazione primaria; -   l’esito del ricorso comporta che non si prelevino né tassa di giustizia né spese processuali e che alla ricorrente sia riconosciuta un’indennità per ripetibili. Per questi motivi, visto per le spese l’art. 231 LT dichiara e pronuncia 1.   Il ricorso è accolto . §    Di conseguenza, la decisione su reclamo del 26 aprile 2011 è riformata nel senso che è ammesso il differimento dell’imposi-zione dell’utile imponibile per reinvestimento nell’abitazione primaria. 2.   Non si prelevano né tassa di giustizia né spese processuali. Alla ricorrente è riconosciuta un’indennità di fr. 500.– per ripetibili.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