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80.2011.134 vom 26. Juli 2011</w:t>
      </w:r>
    </w:p>
    <w:p>
      <w:r>
        <w:t>TI Tribunale d'appello, 2011-07-26, IT</w:t>
      </w:r>
    </w:p>
    <w:p>
      <w:r>
        <w:rPr>
          <w:b/>
        </w:rPr>
        <w:t xml:space="preserve">Quelle: </w:t>
      </w:r>
      <w:r>
        <w:t>https://mcp.opencaselaw.ch/entscheid/ti_gerichte_80.2011.134</w:t>
      </w:r>
    </w:p>
    <w:p>
      <w:r>
        <w:t>FR: TI_GERICHTE 80.2011.134 du 26 juillet 2011</w:t>
      </w:r>
    </w:p>
    <w:p>
      <w:r>
        <w:t>IT: TI_GERICHTE 80.2011.134 del 26 luglio 2011</w:t>
      </w:r>
    </w:p>
    <w:p>
      <w:pPr>
        <w:pStyle w:val="Heading2"/>
      </w:pPr>
      <w:r>
        <w:t>Regeste</w:t>
      </w:r>
    </w:p>
    <w:p>
      <w:r>
        <w:t>Imposta sugli utili immobiliari: alienazione economica, debitore dell'imposta, non finanziatori dell'alienante economico, mutuo parziario e non società semplice</w:t>
      </w:r>
    </w:p>
    <w:p>
      <w:pPr>
        <w:pStyle w:val="Heading2"/>
      </w:pPr>
      <w:r>
        <w:t>Erwägungen</w:t>
      </w:r>
    </w:p>
    <w:p>
      <w:r>
        <w:rPr>
          <w:b/>
        </w:rPr>
        <w:t>E. 1.1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1.2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 (art. 129 cpv. 2 LT).</w:t>
      </w:r>
    </w:p>
    <w:p>
      <w:r>
        <w:rPr>
          <w:b/>
        </w:rPr>
        <w:t>E. 2.1</w:t>
      </w:r>
    </w:p>
    <w:p>
      <w:r>
        <w:t>Con il ricorso in esame, il contribuente propone un argomento che non era in precedenza stato sostenuto. Per la prima volta, infatti, postula la suddivisione dell’utile immobiliare con i suoi finanziatori, che, in base ai contratti conclusi a suo tempo, sarebbero stati remunerati mediante riconoscimento di una partecipazione all’utile pari, rispettivamente, al 30% in un caso ed al 15% nel secondo. Gli altri aspetti delle decisioni impugnate, che erano stati contestati con il reclamo all’Ufficio di tassazione, non devono pertanto più essere esaminati. Come ha rilevato l’autorità fiscale stessa nelle decisioni su reclamo, tali questioni sono state già più che esaurientemente esaminate nelle sentenze di questa Camera, prima, e del Tribunale federale, poi, che si riferivano all’imposi-zione dell’utile conseguito con la vendita di un altro appartamento dello stesso condominio. A tale riguardo, l’Alta Corte ha confermato che il ricorrente era stato correttamente assoggettato all’imposta sugli utili immobiliari, in quanto risultava chiaramente dall’atto notarile concluso con l’acquirente dell’appartamento in questione che l’insorgente “non solo agiva quale appaltatore, potendo procedere al rinnovo e alla commercializzazione delle neo costituite unità di PPP – attività per la quale, oltre ad essersi assicurato la collaborazione della venditrice, poteva presentare le occorrenti domande di costruzione, effettuare i necessari lavori di risanamento e di miglioria nonché intraprendere i passi utili e necessari all’ottenimento della licenza edilizia definitiva – ma soprattutto poteva disporre economicamente dell’immobile siccome poteva esigere che i singoli fogli di PPP fossero venduti agli acquirenti da lui proposti, me diante la sottoscrizione di contratti di compravendita tra loro e la cassa pensione” (cfr. sentenza n. 2C_420/2010 del 28 aprile 2011 consid. 3.3). In seguito, il Tribunale federale rileva che “è a giusto titolo che egli (il ricorrente) è stato considerato l’alienante economico dell’immobile in esame, ciò che è sufficiente per ammettere che vi sia identità tra venditore ed appaltatore. Egli ha quindi tratto un beneficio economico sia dalle singole vendite di unità di PPP sia dai contratti di prestazioni stipulati con gli acquirenti, motivo per cui l’autorità fiscale poteva applicare nei suoi confronti la prassi del computo globale” (cfr. sentenza cit., consid. 3.3).</w:t>
      </w:r>
    </w:p>
    <w:p>
      <w:r>
        <w:rPr>
          <w:b/>
        </w:rPr>
        <w:t>E. 2.2</w:t>
      </w:r>
    </w:p>
    <w:p>
      <w:r>
        <w:t>Alla luce delle considerazioni che precedono, si può affermare che le autorità giudiziarie, che si sono occupate degli aspetti fiscali dell’operazione immobiliare in esame, hanno riconosciuto che alienante degli appartamenti ceduti era il ricorrente. Secondo l’art. 127 cpv. 1 LT, del resto, l’imposta sugli utili immobiliari è a carico dell’alienante. Con le considerazioni proposte nel ricorso in esame, il contribuente pare sostenere tuttavia di non essere stato il solo alienante, per il fatto che ha dovuto condividere l’utile conseguito con i due finanziatori dell’operazione. A comprova di tale tesi, ha prodotto copia di due contratti di mutuo conclusi nel 2004, rispettivamente con l’avv. __________ e con la __________. In questo contesto, si può rilevare che il Tribunale amministrativo del Canton Zurigo ha già avuto modo di decidere che anche il socio passivo di una società occulta (“stille Gesellschaft”) , pur non apparendo quale proprietario degli immobili, consegue un utile immobiliare imponibile (StE 1997 B 42.22 n. 7; inoltre Soldini/Pedroli , L’imposizione degli utili immobiliari – Complemento al Commentario, Lugano 2003, p. 62). Dal tenore dei contratti allegati al ricorso, l’accordo intervenuto fra il ricorrente ed i finanziatori si deve qualificare tuttavia come mutuo parziario piuttosto che come società semplice. Il mutuo parziario si distingue proprio per il fatto che la remunerazione del mutuante dipende dal successo di un’operazione determinata del mutuatario e che il mutuante, per essere in grado di verificare l’esattezza del calcolo della sua remunerazione, beneficia di un certo potere di sorveglianza sull’attività del mutuatario, senza tuttavia diventarne socio, non volendo prendere parte né alla gestione né alle responsabilità dell’operazione (DTF 99 II 303; cfr. inoltre la sentenza del Tribunale federale n. 4C_355/2004 del 15 febbraio 2005). Ad escludere l’esistenza di un animus societatis , nella fattispecie, non sono solo la denominazione del contratto (mutuo) e dei relativi contraenti (mutuante e mutuatario), ma ancor più le obbligazioni delle parti: finanziamento con un importo determinato, rimborso della somma mutuata con remunerazione dipendente dalla misura dell’utile conseguito; ma soprattutto, va sottolineata la clausola che esclude la partecipazione del mutuante “alle eventuali perdite, che sono di esclusiva spettanza del mutuatario”. Si consideri inoltre il fatto che, come ha ancora sottolineato il Tribunale federale nella sua sentenza, la cassa pensione, precedente proprietaria dello stabile, era “costretta a vendere le unità di PPP agli acquirenti proposti dal ricorrente, non essendo previsto nel contratto la possibilità di rifiutarli, e doveva, di riflesso, adattare ad ogni vendita il contratto sottoscritto il 28 maggio 2004”. A tutti gli effetti era dunque l’insorgente ad agire quale proprietario economico degli appartamenti in vendita, non solo per quanto attiene ai lavori di rinnovo degli stessi ma soprattutto nella prospettiva del reperimento degli acquirenti. Neppure nel nuovo ricorso si sostiene che i finanziatori abbiano svolto un ruolo in tali contesti.</w:t>
      </w:r>
    </w:p>
    <w:p>
      <w:r>
        <w:rPr>
          <w:b/>
        </w:rPr>
        <w:t>E. 3</w:t>
      </w:r>
    </w:p>
    <w:p>
      <w:r>
        <w:t>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1’000.– b. nelle spese di cancelleria di complessivi       fr.       80.– per un totale di                                                       fr. 1’080 .– sono a carico del ricorrente. 3.   Contro il presente giudizio è dato ricorso in materia di diritto pubblico al Tribunale federale in Losanna, entro 30 giorni (art. 73 LAID; art. 82 ss. LTF). 4.   Intimazione a: -;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