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80.2008.46 vom 16. April 2008</w:t>
      </w:r>
    </w:p>
    <w:p>
      <w:r>
        <w:t>TI Tribunale d'appello, 2008-04-16, IT</w:t>
      </w:r>
    </w:p>
    <w:p>
      <w:r>
        <w:rPr>
          <w:b/>
        </w:rPr>
        <w:t xml:space="preserve">Quelle: </w:t>
      </w:r>
      <w:r>
        <w:t>https://mcp.opencaselaw.ch/entscheid/ti_gerichte_80.2008.46</w:t>
      </w:r>
    </w:p>
    <w:p>
      <w:r>
        <w:t>FR: TI_GERICHTE 80.2008.46 du 16 avril 2008</w:t>
      </w:r>
    </w:p>
    <w:p>
      <w:r>
        <w:t>IT: TI_GERICHTE 80.2008.46 del 16 aprile 2008</w:t>
      </w:r>
    </w:p>
    <w:p>
      <w:pPr>
        <w:pStyle w:val="Heading2"/>
      </w:pPr>
      <w:r>
        <w:t>Regeste</w:t>
      </w:r>
    </w:p>
    <w:p>
      <w:r>
        <w:t>Procedura: obblighi di collaborazione, reddito dell'attività lucrativa indipendente, conti annuali o distinte</w:t>
      </w:r>
    </w:p>
    <w:p>
      <w:pPr>
        <w:pStyle w:val="Heading2"/>
      </w:pPr>
      <w:r>
        <w:t>Erwägungen</w:t>
      </w:r>
    </w:p>
    <w:p>
      <w:r>
        <w:rPr>
          <w:b/>
        </w:rPr>
        <w:t>E. 1</w:t>
      </w:r>
    </w:p>
    <w:p>
      <w:r>
        <w:t>Secondo gli articoli 125 cpv. 2 LIFD e 199 cpv. 2 LT, le persone fisiche con reddito da attività lucrativa indipendente e le persone giuridiche devono allegare alla dichiarazione i conti annuali firmati (bilanci e conti profitti e perdite) del periodo fiscale oppure, in mancanza di una contabilità conforme all’uso commerciale, le distinte degli attivi e dei passivi, delle entrate e uscite, come anche degli apporti e dei prelevamenti privati. L’obbligo di allegare le “distinte” vale per i contribuenti che non tengono una contabilità commerciale, non essendovi tenuti. Non autorizza c io è i contribuenti che, pur essendovi obbligati, non tengono una contabilità o che rifiutano di produrla, ad adempiere i loro obblighi procedurali allegando alla loro dichiaraz io ne le distinte ( Zwei fe l , in: Zweifel/Athanas [a cura di], Kommentar zum Schweizerischen Steuerrecht, 2. ediz., Basilea 2008, Vol. I/2b, n. 28 ad art. 125 LIFD, p. 296).</w:t>
      </w:r>
    </w:p>
    <w:p>
      <w:r>
        <w:rPr>
          <w:b/>
        </w:rPr>
        <w:t>E. 2.1</w:t>
      </w:r>
    </w:p>
    <w:p>
      <w:r>
        <w:t>Come esposto in narrativa, la ricorrente ha allegato alla dichiarazione d’imposta un bilancio e un conto economico, espressamente intestati al “__________”. Da questa contabilità emerge anzitutto una cifra d’affari di fr. 48'505.85, conseguita nel periodo da ottobre (data di passaggio della gestione del ristorante) a dicembre 2006. Dedotti i costi complessivi di fr. 28'448.90 e i prelevamenti privati di fr. 8'090.40, l’utile dell’esercizio ammonta conseguentemente a fr. 11'966.55. Successivamente, in sede di reclamo, la contribuente ha prodotto un nuovo conteggio, diminuendo drasticamente la cifra d’affari del periodo in esame da fr. 48'505.85 a fr. 21'000.–, senza alcuna ulter io re indicaz io ne in merito ai prelevamenti privati, né agli attivi ed ai passivi dell’esercizio pubblico. A fronte di costi per complessivi fr. 15'800. – , il nuovo utile d’esercizio ammonta così a soli fr. 5'200.–.</w:t>
      </w:r>
    </w:p>
    <w:p>
      <w:r>
        <w:rPr>
          <w:b/>
        </w:rPr>
        <w:t>E. 2.2</w:t>
      </w:r>
    </w:p>
    <w:p>
      <w:r>
        <w:t>Il nuovo conteggio, estremamente lacunoso, è ben lungi dal soddisfare le esigenze stabilite dalla legislaz io ne tributaria per i contribuenti non assoggettati all’obbligo di tenere una contabilità commerciale. Secondo la giurisprudenza, infatti, i requisiti che le “distinte”, previste dagli articoli 125 cpv. 2 LIFD e 199 cpv. 2 LT, devono adempiere dipendono dalla situazione del caso concreto, in particolare dal tipo di attività commerciale e dalle sue dimensioni. Sono in ogni caso necessarie registrazioni idonee, che garantiscano l’assoggettamento completo e attendibile del reddito e della sostanza aziendali e consentano un’adeguata verifica da parte dell’autorità fiscale (sentenza del Tribunale federale del 13 dicembre 2003 n. 2A.272/2003 consid. 4; Zwei fe l , op. cit., n. 30 s. ad art. 125 LIFD, p. 297). In effetti, c ontrariamente a quanto sembra sostenere la ricorrente, che nello scritto del 17 settembre 2009 invita sostanzialmente l’Ufficio di tassazione a comprovare il suo reddito aziendale, la procedura fiscale è retta dal principio di collaborazione . Sia secondo l’art. 196 LT sia secondo l’art. 123 cpv. 1 LIFD, le autorità di tassazione determinano con il contribuente le condizioni di fatto o di diritto determinanti per un’imposizione completa ed esatta. Al contribuente è quindi imposto l’obbligo di fare tutto il necessario per consentire una tassazione completa ed esatta (art. 200 LT; art. 126 cpv. 1 LIFD).</w:t>
      </w:r>
    </w:p>
    <w:p>
      <w:r>
        <w:rPr>
          <w:b/>
        </w:rPr>
        <w:t>E. 2.3</w:t>
      </w:r>
    </w:p>
    <w:p>
      <w:r>
        <w:t>A dispetto del nuovo conteggio, il bilancio e il conto economico allegati alla dichiarazione d’imposta permettono invece di rilevare lo stato patrimoniale dell’esercizio pubblico, i rapporti di debito e di credito derivanti dal corso degli affari e il risultato del singolo esercizio. In quanto tali, rispecchiano senz’altro una contabilità conforme all’uso commerciale ed hanno pertanto una valenza probatoria sicuramente maggiore rispetto al nuovo conteggio trasmesso solo in sede di reclamo. In questo contesto, di nessun rilievo sono poi le argomentazioni riferite alle numerose spese inevitabilmente sostenute dalla ricorrente con il passaggio di gestione dell’esercizio pubblico. È qui appena il caso di ricordare che gli investimenti aziendali non influenzano certo il conto economico, ma vanno semmai ad aumentare gli attivi a bilancio. Inoltre, nel caso concreto il prezzo dell’inventario, commisurato dalla stessa contribuente in fr. 52'100.–, è ben al di sotto del limite della sostanza imponibile e sembrerebbe peraltro coperto da un prestito concessole da suo padre, che ha dichiarato per iscritto di averle prestato, a titolo gratuito, 50'000 franchi nel corso del mese di luglio.</w:t>
      </w:r>
    </w:p>
    <w:p>
      <w:r>
        <w:rPr>
          <w:b/>
        </w:rPr>
        <w:t>E. 3</w:t>
      </w:r>
    </w:p>
    <w:p>
      <w:r>
        <w:t>D’altra parte, non si può non rilevare che il bilancio e il conto economico allegati alla dichiarazione d’imposta sono espressamente intestati al “__________”. Se, come sostenuto nello scritto del 17 settembre 2009, tale documentazione rappresenta unicamente un esempio contabile “spedito per errore”, si dovrebbe concludere che la sua intestazione, prima ancora della sua trasmissione all’autorità di tassazione, è completamente priva di coerenza logica. Non può inoltre passare inosservato che il nuovo conteggio è privo della benché minima pezza giustificativa. Ammettere che la ricorrente possa scostarsi dalla suddetta contabilità limitandosi a presentare, a posteriori, una simile documentazione, significherebbe consentire alla stessa di venire contra factum proprium , a ragion veduta, una volta conosciuta la tassazione. Un simile comportamento è manifestamente incompatibile con il principio della buona fede, che vincola non solo l’autorità ma anche l’amministrato ( Knapp , Grundlagen des Verwaltungsrechts, vol. I, Basilea 1992, n. 499, p. 107; Moor , Droit administratif, vol. I, 2. ediz., Berna 1994, p. 433).</w:t>
      </w:r>
    </w:p>
    <w:p>
      <w:r>
        <w:rPr>
          <w:b/>
        </w:rPr>
        <w:t>E. 4</w:t>
      </w:r>
    </w:p>
    <w:p>
      <w:r>
        <w:t>Il ricorso è conseguentemente respinto. Tassa di giustizia e spese processuali sono poste a carico della ricorrente, soccombente. Per questi motivi, visti per le spese gli art. 144 LIFD e 231 LT dichiara e pronuncia 1.   Il ricorso è respinto . 2.   Le spese processuali consistenti: a. nella tassa di giustizia di                                  fr.    400.– b. nelle spese di cancelleria di complessivi       fr.       80.– per un totale di                                                       fr.    480.– sono a carico della ricorrente. 3.   Contro il presente giudizio è dato ricorso in materia di diritto pubblico al Tribunale federale in Losanna, entro 30 giorni (art. 146 LIFD; art. 73 LAID; art. 82 ss. LTF). 4.   Intimazione a: - ; - ; -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