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80.2008.145 vom 3. Dezember 2008</w:t>
      </w:r>
    </w:p>
    <w:p>
      <w:r>
        <w:t>TI Tribunale d'appello, 2008-12-03, IT</w:t>
      </w:r>
    </w:p>
    <w:p>
      <w:r>
        <w:rPr>
          <w:b/>
        </w:rPr>
        <w:t xml:space="preserve">Quelle: </w:t>
      </w:r>
      <w:r>
        <w:t>https://mcp.opencaselaw.ch/entscheid/ti_gerichte_80.2008.145</w:t>
      </w:r>
    </w:p>
    <w:p>
      <w:r>
        <w:t>FR: TI_GERICHTE 80.2008.145 du 3 décembre 2008</w:t>
      </w:r>
    </w:p>
    <w:p>
      <w:r>
        <w:t>IT: TI_GERICHTE 80.2008.145 del 3 dicembre 2008</w:t>
      </w:r>
    </w:p>
    <w:p>
      <w:pPr>
        <w:pStyle w:val="Heading2"/>
      </w:pPr>
      <w:r>
        <w:t>Regeste</w:t>
      </w:r>
    </w:p>
    <w:p>
      <w:r>
        <w:t>Reddito dell'attività lucrativa indipendente: commercio professionale di immobili, acquisto e vendita villa in meno di tre mesi, finanziamento da parte del padre</w:t>
      </w:r>
    </w:p>
    <w:p>
      <w:pPr>
        <w:pStyle w:val="Heading2"/>
      </w:pPr>
      <w:r>
        <w:t>Erwägungen</w:t>
      </w:r>
    </w:p>
    <w:p>
      <w:r>
        <w:rPr>
          <w:b/>
        </w:rPr>
        <w:t>E. 1.1</w:t>
      </w:r>
    </w:p>
    <w:p>
      <w:r>
        <w:t>Dal 1° gennaio 2003, con il passaggio dalla tassazione sul passato a quella sul presente, il Canton Ticino ha fissato per le basi temporali un periodo fiscale corrispondente all’anno civile, considerando lo stesso anno civile come periodo di calcolo (art. 41 prima frase LIFD). Per ovviare agli inevitabili inconvenienti provocati dal passaggio da un sistema di tassazione ( praenumerando ) ad un altro ( postnumerando ) e al relativo vuoto di tassazione che si viene a creare, il legislatore federale ha introdotto le prescrizioni del capitolo 3 (art. 208–220) delle disposizioni transitorie (art. 41 seconda frase LIFD). L’art. 218 LIFD, in particolare, prevede quanto segue:</w:t>
      </w:r>
    </w:p>
    <w:p>
      <w:r>
        <w:rPr>
          <w:b/>
        </w:rPr>
        <w:t>E. 1.2</w:t>
      </w:r>
    </w:p>
    <w:p>
      <w:r>
        <w:t>Secondo l’art. 206 cpv. 3 LIFD, per redditi straordinari s’intendono gli utili da capitali, le rivalutazioni contabili d’elementi patrimoniali, lo scioglimento di accantonamenti e l’omissione di ammortamenti e di accantonamenti giustificati dall’uso commerciale. Per il Tribunale federale, all’imposta annua intera prevista dal combinato disposto degli articoli 218 cpv. 2 e 3 e 206 cpv. 3 LIFD sono soggetti in linea di principio tutti gli utili in capitale provenienti dall’alienazione di immobili da parte di un commerciante professionale di immobili. Infatti, si tratta di guadagni che sono soggetti spesso a forti fluttuazioni temporali, per cui non si possono ritenere provenienti da un’attività aziendale regolare. A ciò si aggiunge il fatto che il commercio professionale di immobili viene esercitato spesso nel quadro di un’attività accessoria o unica. Si tratta pertanto di proventi straordinari secondo l’art. 218 cpv. 2 e 3 LIFD, anche se non si può escludere che, in presenza di particolari circostanze, si tratti, anche solo parzialmente, di redditi ordinari. In tal caso, compete al contribuente l’onere di provare che tali redditi scaturiscano dall’attività aziendale ordinaria (sentenza del Tribunale federale del 28 aprile 2006 cit., consid. 2.5; inoltre sentenza del 3 novembre 2006 n. 2A.679/2005, in RF 2007 p. 119, consid. 3.4; cfr. inoltre RtiD I-2009 n. 24t).</w:t>
      </w:r>
    </w:p>
    <w:p>
      <w:r>
        <w:rPr>
          <w:b/>
        </w:rPr>
        <w:t>E. 1.3</w:t>
      </w:r>
    </w:p>
    <w:p>
      <w:r>
        <w:t>Secondo la giurisprudenza del Tribunale federale, l’utile da commercio professionale d’immobili si considera realizzato alla data in cui il contratto di compravendita è validamente concluso mediante atto pubblico, senza che sia necessario attendere l’esecuzione del contratto, ed in particolare l’iscrizione a registro fondiario del nuovo proprietario (cfr. RDAF 2004 II p. 38; ASA 61 p. 66 = RDAF 1993 p. 421; inoltre Yersin , La distinction entre l'activité indépendante et la gestion de la fortune privée, dans le domaine immobilier, in ASA 67 p. 115). Nel caso in esame, la vendita immobiliare che ha dato luogo all’imposizione dell’utile litigioso è stata conclusa l’11 febbraio 2002. L’utile conseguito cade pertanto nel vuoto di tassazione costituito dal biennio 2001/2002. 2.</w:t>
      </w:r>
    </w:p>
    <w:p>
      <w:r>
        <w:rPr>
          <w:b/>
        </w:rPr>
        <w:t>E. 2</w:t>
      </w:r>
    </w:p>
    <w:p>
      <w:r>
        <w:t>I proventi straordinari conseguiti negli anni n-1 e n-2 o in un esercizio che si è concluso in uno di questi anni soggiacciono per l’anno fiscale in cui sono stati realizzati a un’imposta annua intera all’aliquota applicabile unicamente per questi proventi; sono fatti salvi gli articoli 37 e 38. Le deduzioni sociali secondo l’articolo 35 non sono accordate. Le spese in relazione diretta con il conseguimento dei proventi straordinari possono essere dedotte.</w:t>
      </w:r>
    </w:p>
    <w:p>
      <w:r>
        <w:rPr>
          <w:b/>
        </w:rPr>
        <w:t>E. 2.1</w:t>
      </w:r>
    </w:p>
    <w:p>
      <w:r>
        <w:t>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 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rPr>
          <w:b/>
        </w:rPr>
        <w:t>E. 2.2</w:t>
      </w:r>
    </w:p>
    <w:p>
      <w:r>
        <w:t>Va poi ricordato che secondo la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(DTF 112 Ib 81 consid. 2a e rif.; ASA 59, pag.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 14; Soldini , Il commercio professionale di immobili alla luce della giurisprudenza federale e cantonale e nella prospettiva della nuova Legge tributaria, in RDAT I-1994 p.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w:t>
      </w:r>
    </w:p>
    <w:p>
      <w:r>
        <w:rPr>
          <w:b/>
        </w:rPr>
        <w:t>E. 2.3</w:t>
      </w:r>
    </w:p>
    <w:p>
      <w:r>
        <w:t>Vero è che questi sviluppi giurisprudenziali sollevano qualche perplessità, segnatamente in relazione al carattere talvolta vago degli indizi considerati come determinanti dalla prassi del Tribunale federale ( Reich , in Zweifel/Athanas [a cura di], Kommentar zum schweizerischen Steuerrecht, Vol. I/2a, 2. ediz., Basilea 2008, n. 16 ad art. 18 LIFD; Noël , in Yersin/Noël [a cura di], Commentaire de la loi sur l’impôt fédéral direct, Basilea 2008, n. 15 ad art. 18 LIFD; Oberson , Droit fiscal suisse, 3. ediz., Basilea 2007, p.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Fatte queste premesse,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w:t>
      </w:r>
    </w:p>
    <w:p>
      <w:r>
        <w:rPr>
          <w:b/>
        </w:rPr>
        <w:t>E. 3</w:t>
      </w:r>
    </w:p>
    <w:p>
      <w:r>
        <w:t>Per proventi straordinari s’intendono segnatamente le prestazioni in capitale, i redditi aperiodici della sostanza, i proventi da lotterie nonché, in applicazione analogica dell’articolo 206 capoverso 3, i proventi straordinari di un’attività lucrativa indipendente.</w:t>
      </w:r>
    </w:p>
    <w:p>
      <w:r>
        <w:rPr>
          <w:b/>
        </w:rPr>
        <w:t>E. 3.1</w:t>
      </w:r>
    </w:p>
    <w:p>
      <w:r>
        <w:t>Nel caso in esame, il ricorrente aveva acquistato il mapp. n. __________ RFD di __________ con atto pubblico del 16 novembre 2001 da __________, al prezzo di fr. 1'700'000.–. Lo ha rivenduto con rogito dell’11 febbraio 2002 al prezzo di fr. 2'100'000.–. Riguardo alle modalità di finanziamento dell’acquisto, secondo il ricorrente tutti i mezzi sarebbero stati propri. A comprova di tale affermazione, durante la procedura di tassazione ha prodotto due documenti: un contratto stipulato dal padre, __________, e dal venditore dell’immobile, __________; e uno scritto indirizzato dal suo rappresentante all’Ufficio imposte di successione e donazione. Con la convenzione dell’8 ottobre 2001, il padre del contribuente ha compensato in misura di fr. 4'100'000.– il proprio credito nei confronti di __________, “attraverso l’acquisto da parte dei suoi figli __________ e __________” di altrettanti immobili. Il credito di __________ nei confronti di __________ nasceva da “prestiti personali… formanti oggetto di contratti di mutuo fruttifero regolarmente bollati, remunerati e figuranti nelle dichiarazioni fiscali del signor __________”. Con la lettera indirizzata all’Ufficio imposte di successione e donazione il 25 giugno 2002, il ricorrente ha invece informato l’autorità fiscale che l’acquisto dell’immobile, avvenuto il 20 novembre 2001 per fr. 1'700'000.–, era stato finanziato dal padre e si era “configurata quindi la fattispecie di una donazione”.</w:t>
      </w:r>
    </w:p>
    <w:p>
      <w:r>
        <w:rPr>
          <w:b/>
        </w:rPr>
        <w:t>E. 3.2</w:t>
      </w:r>
    </w:p>
    <w:p>
      <w:r>
        <w:t>Un primo elemento che certamente depone a favore della tesi del carattere commerciale dell’operazione immobiliare in esame è rappresentato dalla breve durata del possesso. Fra i due atti pubblici di compravendita non sono infatti trascorsi neppure tre mesi, cosa che non ha impedito al ricorrente di conseguire un utile immobiliare (lordo) di ben 400'000 franchi. La consolidata giurisprudenza in materia di commercio professionale d’immobili attribuisce notevole rilievo alla durata del possesso, ai fini della delimitazione dei casi di commercio professionale di immobili (cfr. p. es. le sentenze n. 80.95.00074 del 28 agosto 1995 e CDT n. 266/267 del 30 ottobre 1992). La breve durata del possesso è, di regola, indizio di professionalità, se non addirittura di un agire speculativo. La lunga durata è invece normalmente indizio di segno contrario, di oculata amministrazione patrimoniale ( Stocker , Die steuerliche Abgrenzung der selbständigen Erwerbstätigkeit von der privaten Vermögensverwaltung, Basilea 1992, p. 125; Soldini , Il commercio professionale d’immobili, in RDAT I-1994, p. 398). La vistosa sproporzione fra la (brevissima) durata del possesso e il (rilevante) guadagno conseguito costituisce un indizio di notevole importanza della professionalità dell’operazione. A nulla valgono, per contrastare tale conclusione, gli accenni del ricorrente al “capriccio” che lo avrebbe guidato nell’acquisto e nella successiva rivendita della casa. Anzitutto, si tratta di un’argomentazione difficile da verificare, trattandosi di un aspetto soggettivo. Inoltre, anche volendo ammettere che l’acquisto del 2001 sia stato dettato da un “capriccio”, è più difficile credere che lo stesso movente sia alla base della successiva vendita della casa, non appena si consideri il fatto che il ricorrente ha pagato 70'000 franchi di provvigione ad un mediatore per avergli procurato gli acquirenti della casa (cfr. la tassazione dell’imposta sugli utili immobiliari).</w:t>
      </w:r>
    </w:p>
    <w:p>
      <w:r>
        <w:rPr>
          <w:b/>
        </w:rPr>
        <w:t>E. 3.3</w:t>
      </w:r>
    </w:p>
    <w:p>
      <w:r>
        <w:t>Venendo al finanziamento, deve essere sottolineata la circostanza che il contribuente non disponeva di alcun capitale al momento dell’acquisto dell’immobile poi rivenduto con profitto. A suo avviso, tuttavia, il fatto che il finanziamento sia provenuto dal padre sarebbe sufficiente ad escludere che abbia beneficiato di crediti. Ora, che il contribuente possa sostenere di avere semplicemente amministrato la propria sostanza privata pare difficile da sostenere, alla luce del fatto che non disponeva di alcun capitale. È infatti indiscusso che il pagamento sia avvenuto da parte del padre, mediante compensazione di suoi crediti nei confronti del venditore. Non è quindi neppure possibile ritenere che il padre abbia donato al figlio l’importo necessario al finanziamento dell’acquisto della casa prima della stipulazione del contratto, proprio alla luce delle appena ricordate modalità di pagamento del prezzo. Del resto, la segnalazione all’Ufficio imposte di donazione dell’avvenuta donazione al figlio è avvenuta solo il 25 giugno 2002, quindi alcuni mesi dopo l’acquisto e addirittura dopo la rivendita dell’immobile. Le descritte circostanze impongono allora di ritenere perlomeno assai plausibile la tesi dell’autorità fiscale, che ha ritenuto integralmente finanziato da terzi l’acquisto della casa di __________ da parte del ricorrente. In ogni caso, non è dimostrato che, nel momento in cui la casa è stata comperata, il capitale necessario appartenesse al contribuente. Anche l’ulteriore indizio del carattere professionale dell’operazione, rappresentato dal finanziamento con capitali di terzi, è dunque adempiuto.</w:t>
      </w:r>
    </w:p>
    <w:p>
      <w:r>
        <w:rPr>
          <w:b/>
        </w:rPr>
        <w:t>E. 3.4</w:t>
      </w:r>
    </w:p>
    <w:p>
      <w:r>
        <w:t>A proposito delle modalità di finanziamento, non può essere trascurato il ruolo svolto dal padre. Dalle spiegazioni offerte dal contribuente e dalla documentazione da questi prodotta, risulta infatti che __________ ha avuto rapporti intensi con il venditore della casa in questione, __________, che è attivo nel commercio immobiliare. Lo dimostra il fatto stesso che il pagamento della casa sia avvenuto mediante compensazione di un credito del padre del ricorrente nei confronti di __________ . Se si tiene conto del fatto che è stato il padre del ricorrente a condurre la trattativa ed a finanziare integralmente l’acquisto della casa, si potrebbe anche ritenere che sia stato lui a concludere l’operazione immobiliare in discussione, interponendo il figlio quale acquirente formale. Se si esaminasse la transazione da questo punto di vista, non sarebbe assolutamente possibile metterne in discussione la natura commerciale. Non essendovi tuttavia la prova di una simulazione, la questione non merita di essere approfondita.</w:t>
      </w:r>
    </w:p>
    <w:p>
      <w:r>
        <w:rPr>
          <w:b/>
        </w:rPr>
        <w:t>E. 3.5</w:t>
      </w:r>
    </w:p>
    <w:p>
      <w:r>
        <w:t>L’autorità fiscale ha anche pertinentemente attirato l’attenzione sul fatto che il contribuente, proprio quando ha comprato e poi venduto la casa in questione, lavorava alle dipendenze della __________ (poi divenuta __________ SA), una società attiva nel settore immobiliare, vicina al venditore della casa. E, come già evidenziato, l’esercizio di un’attività professionale nel settore costituisce un significativo indizio del carattere commerciale di un’operazione immobiliare.</w:t>
      </w:r>
    </w:p>
    <w:p>
      <w:r>
        <w:rPr>
          <w:b/>
        </w:rPr>
        <w:t>E. 3.6</w:t>
      </w:r>
    </w:p>
    <w:p>
      <w:r>
        <w:t>Deve infine anche essere molto relativizzata la questione dell’uso personale della casa da parte del contribuente. Desta non poche perplessità, a tale proposito, la decisione dell’Ufficio di tassazione di concedere al contribuente il differimento dell’imposizione dell’utile immobiliare. Per l'art. 125 lett. g LT (conformemente al diritto federale; cfr. art. 12 cpv. 3 lett. a LAID), tale differimento presuppone che venga alienata “un'abitazione (casa monofamiliare o appartamento) che ha servito durevolmente ed esclusivamente all'uso personale del contribuente”. Se si tiene conto del fatto che, come già sottolineato, l’acquisto e la vendita della casa da parte del ricorrente sono state rogate in un lasso di tempo di meno di tre mesi, è perlomeno dubbio che l’uso personale possa considerarsi durevole. Anche tale questione non necessita tuttavia di essere risolta in questa sede. È indiscutibile infatti che la mera circostanza che l’insorgente abbia abitato la casa, nelle poche settimane in cui ne è stato proprietario, non basti ad escludere che il guadagno conseguito sia considerato di carattere professionale, in particolar modo alla luce di tutte le particolarità della fattispecie già messe in evidenza.</w:t>
      </w:r>
    </w:p>
    <w:p>
      <w:r>
        <w:rPr>
          <w:b/>
        </w:rPr>
        <w:t>E. 4</w:t>
      </w:r>
    </w:p>
    <w:p>
      <w:r>
        <w:t>Alla luce delle considerazioni che precedono, il ricorso è respinto. Tassa di giustizia e spese processuali sono a carico del ricorrente, soccombente. Per questi motivi, visto per le spese l’art. 144 LIFD dichiara e pronuncia 1.   Il ricorso è respinto . 2.   Le spese processuali consistenti: a. nella tassa di giustizia di                                  fr. 2’000.– b. nelle spese di cancelleria di complessivi       fr.    100.– per un totale di                                                       fr. 2’100 .– sono a carico del ricorrente. 3.   Contro il presente giudizio è dato ricorso in materia di diritto pubblico al Tribunale federale in Losanna, entro 30 giorni (art. 146 LIFD;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