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80.2007.63 vom 22. Oktober 2008</w:t>
      </w:r>
    </w:p>
    <w:p>
      <w:r>
        <w:t>TI Tribunale d'appello, 2008-10-22, IT</w:t>
      </w:r>
    </w:p>
    <w:p>
      <w:r>
        <w:rPr>
          <w:b/>
        </w:rPr>
        <w:t xml:space="preserve">Quelle: </w:t>
      </w:r>
      <w:r>
        <w:t>https://mcp.opencaselaw.ch/entscheid/ti_gerichte_80.2007.63_d20081022</w:t>
      </w:r>
    </w:p>
    <w:p>
      <w:r>
        <w:t>FR: TI_GERICHTE 80.2007.63 du 22 octobre 2008</w:t>
      </w:r>
    </w:p>
    <w:p>
      <w:r>
        <w:t>IT: TI_GERICHTE 80.2007.63 del 22 ottobre 2008</w:t>
      </w:r>
    </w:p>
    <w:p>
      <w:pPr>
        <w:pStyle w:val="Heading2"/>
      </w:pPr>
      <w:r>
        <w:t>Regeste</w:t>
      </w:r>
    </w:p>
    <w:p>
      <w:r>
        <w:t>Tariffa per le operazioni a registro fondiario - valore di contrattazione - computo complessivo - coincidenza temporale dei contratti di compravendita e appalto non necessaria</w:t>
      </w:r>
    </w:p>
    <w:p>
      <w:pPr>
        <w:pStyle w:val="Heading2"/>
      </w:pPr>
      <w:r>
        <w:t>Erwägungen</w:t>
      </w:r>
    </w:p>
    <w:p>
      <w:r>
        <w:rPr>
          <w:b/>
        </w:rPr>
        <w:t>E. 1</w:t>
      </w:r>
    </w:p>
    <w:p>
      <w:r>
        <w:t>.1. L’art. 954 CC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non vieta dunque a quest’ultimi di prelevare un tributo misto, risultante dalla combinazione di una tassa in senso proprio con un’imposta destinata ad aumentare le entrate dell’erario (DTF 72 I 391 pag. 394 con rinvii). Le tasse previste dal decreto legislativo del Canton Ticino che stabilisce la tariffa per le operazioni a registro fondiario (DLTRF; RL 4.1.4.2)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(DTF 72 I 391 consid. 3; STF 13 aprile 1994 n. 2C.2/1992, in RDAT II-1994 n. 16t; v. anche Blumenstein/Locher , System des Steuerrechts, 5 a ediz., Zurigo 1995, p. 7).</w:t>
      </w:r>
    </w:p>
    <w:p>
      <w:r>
        <w:rPr>
          <w:b/>
        </w:rPr>
        <w:t>E. 1.2</w:t>
      </w:r>
    </w:p>
    <w:p>
      <w:r>
        <w:t>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(RDAT II-1994 n. 16t p. 409).</w:t>
      </w:r>
    </w:p>
    <w:p>
      <w:r>
        <w:rPr>
          <w:b/>
        </w:rPr>
        <w:t>E. 1.3</w:t>
      </w:r>
    </w:p>
    <w:p>
      <w:r>
        <w:t>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(STF del 3 aprile 2000, in RDAT II-2000 n. 1t; Blumenstein/Locher , op. cit., p. 180; Thomas , Les droits de mutation, tesi, Tolochenaz 1991, pp. 29 e 31-33; Pfenninger , Die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Richner/Frei/Kaufmann , Kommentar zum harmonisierten Zürcher Steuergesetz – Kurzkommentar, Zurigo 1999, n. 2 ad §§ 227-233, p. 1512).</w:t>
      </w:r>
    </w:p>
    <w:p>
      <w:r>
        <w:rPr>
          <w:b/>
        </w:rPr>
        <w:t>E. 1.4</w:t>
      </w:r>
    </w:p>
    <w:p>
      <w:r>
        <w:t>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potestà originaria del Cantone di legiferare in materia di diritto pubblico (art. 6 CC; cfr. Ruf , op. cit., p. 262).</w:t>
      </w:r>
    </w:p>
    <w:p>
      <w:r>
        <w:rPr>
          <w:b/>
        </w:rPr>
        <w:t>E. 2.1</w:t>
      </w:r>
    </w:p>
    <w:p>
      <w:r>
        <w:t>Il 1° marzo 2005 (cfr. BU 2005 p. 65) è entrato in vigore l’art. 5a DLTRF, secondo cui, nel caso di un contratto di vendita, o di altro negoz io giuridico economicamente equivalente, riferito a edifici e a quote di PPP il cui prezzo è pagato con il sistema “chiavi in mano”, oppure di fondi da edificare mediante un contratto di appalto, la tassa è calcolata sulla somma corrispondente al valore del terreno sommato al valore del prezzo pattuito nel contratto di appalto. La nuova disposiz io ne è stata adottata nel quadro dell’approva-z io ne del pacchetto di misure di riequilibr io delle finanze cantonali adottato nel dicembre 2004 (cfr. anche Varini , Il computo complessivo in relaz io ne alla tassa di iscriz io ne a registro fondiar io , in RtiD I-2006, p. 549 ss., in particolare p. 568).</w:t>
      </w:r>
    </w:p>
    <w:p>
      <w:r>
        <w:rPr>
          <w:b/>
        </w:rPr>
        <w:t>E. 2.2</w:t>
      </w:r>
    </w:p>
    <w:p>
      <w:r>
        <w:t>Alla fattispecie in esame non è applicabile l’art. 5a DLTRF, giacché non era ancora in vigore al momento del trasferimento di proprietà imponibile (iscriz io ne a Registro fondiar io : 17 febbra io 2004).</w:t>
      </w:r>
    </w:p>
    <w:p>
      <w:r>
        <w:rPr>
          <w:b/>
        </w:rPr>
        <w:t>E. 3.1</w:t>
      </w:r>
    </w:p>
    <w:p>
      <w:r>
        <w:t>Nella fattispecie, è dunque controversa l’applicabilità della prassi che prevede il cumulo dei valori dei contratti di compravendita e di appalto, alla transaz io ne immobiliare del 12 febbra io 2004 fra l’arch. __________ da una parte ed i ricorrenti dall’altra. Secondo l’autorità di tassaz io ne vi sarebbe infatti fra la compravendita del terreno ed il contratto di appalto concluso in seguito fra le stesse parti un legame tanto stretto da giustificare il cumulo dei due importi ai fini del calcolo dell’imponibile. Tale conclus io ne è per contro contestata dai ricorrenti, secondo i quali lo svolgimento dei rapporti fra le parti contrattuali escluderebbe l’applicaz io ne della prassi in quest io ne, in particolar modo in consideraz io ne del tempo trascorso fra la sottoscriz io ne dei due contratti.</w:t>
      </w:r>
    </w:p>
    <w:p>
      <w:r>
        <w:rPr>
          <w:b/>
        </w:rPr>
        <w:t>E. 3.2</w:t>
      </w:r>
    </w:p>
    <w:p>
      <w:r>
        <w:t>Deve anzitutto essere ricordato che, con sentenza del 15 febbraio 2005, questa Camera ha stabilito che si giustifica il computo dell’onorario per l’appalto spettante alla società venditrice, quale controprestazione per l’edificazione del condominio, ai fini della commisurazione del valore dell’atto imponibile. Sebbene il tributo che viene riscosso in occasione delle operazioni nel registro fondiario abbia un chiaro carattere formale e quindi dipenda strettamente dai trasferimenti civilistici, come dimostra già il fatto stesso che fa dipendere l’imposizione dalla richiesta di operazioni agli uffici del registro fondiario (art. 1 DLTRF), questa Camera ha ritenuto infatti che ciò non basti ad escludere che il tributo sia calcolato computando al prezzo per la vendita del terreno anche la mercede prevista dal contratto di appalto. Tale conclusione discende infatti piuttosto dalla nozione (economica) di «valore della contrattazione», la quale, come ripetutamente riconosciuto dallo stesso Tribunale federale, non si identifica semplicemente con quella di ricavo o di prezzo di vendita, sicché si deve ammettere che anch’essa sia una nozione economica e non civilistica. Tanto è vero che l’Alta Corte ha ammesso che possa discostarsi dal valore dell’atto non solo a favore del valore di stima ufficiale ma anche a favore del valore commerciale. Nulla si oppone allora ad un’interpretazione della nozione di «valore della contrattazione» che vi faccia rientrare anche l’ipotesi del computo del valore di acquisto e dell’onorario per l’appalto, quando vi è una stretta interdipendenza dei due contratti (CDT n. 80.2004.140 del 15 febbraio 2005, in RtiD II-2005 n. 2t).</w:t>
      </w:r>
    </w:p>
    <w:p>
      <w:r>
        <w:rPr>
          <w:b/>
        </w:rPr>
        <w:t>E. 3.3</w:t>
      </w:r>
    </w:p>
    <w:p>
      <w:r>
        <w:t>In una sentenza del 2005 (CDT n. 80.2005.87 del 17 agosto 2005, in RtiD I-2006 n. 1t), relativa a sua volta ad un’alienaz io ne precedente l’entrata in vigore dell’art. 5a DLTRF, questa Camera ha già avuto modo di decidere che la cosiddetta prassi del computo complessivo si applica anche ai casi in cui non vi è identità fra alienante ed appaltatore ed ha dunque ritenuto giustificato il computo dell’onorar io per l’appalto versato ad una società vicina ai venditori, tanto più che i contratti di appalto erano stati sottoscritti prima di quelli di compravendita dei terreni. A tale riguardo, ha ricordato che il Tribunale federale ha già avuto modo di pronunciarsi ripetutamente nel senso che il punto di vista economico, su cui si fonda la prassi del computo complessivo, sfugge alla censura di arbitr io anche nel caso in cui non vi sia identità fra venditore del fondo e appaltatore oppure fra acquirente del fondo e committente. Ciò che è determinante è piuttosto che i contratti di compravendita e di appalto costituiscano a tal punto un’unità che non si sarebbe giunti alla conclus io ne dell’uno senza l’altro; cosa che si verifica in particolar modo quando le parti abbiano cooperato allo scopo di vendere il terreno e di edificarlo (Tribunale federale,</w:t>
      </w:r>
    </w:p>
    <w:p>
      <w:r>
        <w:rPr>
          <w:b/>
        </w:rPr>
        <w:t>E. 3.4</w:t>
      </w:r>
    </w:p>
    <w:p>
      <w:r>
        <w:t>Ai fini dell’applicazione della prassi cosiddetta del “computo complessivo” non è determinante tanto la perfetta coincidenza temporale fra la conclusione del contratto di compravendita e di quello di appalto, quanto piuttosto che fra i due contratti si manifesti una chiara interdipendenza, nel senso che i compratori del terreno non si limitano all’acquisto di un fondo ma mirano ad entrare in possesso di una casa per la quale esiste già un progetto pronto per la realizzazione, ad un costo già determinato. Il Tribunale federale ha già avuto modo di considerare giustificato il cumulo dei valori in casi in cui il progetto era già noto ed accettato al momento dell’acquisto del terreno, in base ad un’offerta sottoposta agli acquirenti, e l’atto conteneva l’impegno a conferire i lavori a una determinata ditta, anche se il contratto con architetto e impresar io sarebbe poi stato sottoscritto (sia pure di poco) poster io rmente alla vendita ( Varini , op. cit., p. 570, con riferimento alla sentenza del Tribunale federale del 4 novembre 2005, n. 2P.302/2005, consid. 4.2 e a BStPra 1991 p. 83).</w:t>
      </w:r>
    </w:p>
    <w:p>
      <w:r>
        <w:rPr>
          <w:b/>
        </w:rPr>
        <w:t>E. 3.5</w:t>
      </w:r>
    </w:p>
    <w:p>
      <w:r>
        <w:t>L’approfondita istruttoria svolta dall’autorità di ricorso dipartimentale ha permesso di stabilire che il terreno acquistato dai ricorrenti era stato precedentemente lottizzato ed urbanizzato, da parte dell’arch. __________: dal primitivo mapp. n. __________ di __________, nel 2003 sono state ricavate sette parcelle, fra cui quella dei ricorrenti. La domanda di costruzione per quest’ultima parcella è stata inoltrata il 27 ottobre 2003 dallo stesso proprietario, che figurava anche come progettista, e la licenza edilizia gli è stata rilasciata il 16 dicembre 2003. A tale progetto fa espresso riferimento il contratto di appalto generale sottoscritto fra venditore ed acquirenti del terreno il 7 aprile 2004. Per gli altri fondi ricavati dal frazionamento citato, il proprietario ha proceduto nello stesso modo, vendendo le parcelle e stipulando contratti d’appalto con i compratori. Gli elementi descritti conducono alla conclusione che la vendita del terreno e la successiva edificazione della casa unifamiliare, si inseriscono, come ha documentato l’autorità di ricorso, entro un complesso progetto di valorizzazione di un’area edificabile, a partire dalla sua lottizzazione per giungere alla costruzione delle villette, passando per l’urbanizzazione, la progettazione delle case, l’inoltro delle domande di costruzione, la promozione e la vendita. In questo contesto, la semplice circostanza che fra la stipulazione dell’atto pubblico di compravendita del terreno e la sottoscrizione del contratto d’appalto generale siano trascorsi quasi due mesi non può apparire determinante. L’interdipendenza reciproca fra i due contratti è troppo evidente per poter essere messa in discussione.</w:t>
      </w:r>
    </w:p>
    <w:p>
      <w:r>
        <w:rPr>
          <w:b/>
        </w:rPr>
        <w:t>E. 4</w:t>
      </w:r>
    </w:p>
    <w:p>
      <w:r>
        <w:t>Il ricorso è conseguentemente respinto. Tassa di giustizia e spese processuali sono a carico dei ricorrenti, soccombenti. Per questi motivi, visti per le spese gli art. 7a cpv. 3 DLTRF, 40 cpv. 3 LTRF e 231 LT dichiara e pronuncia 1.   Il ricorso è respinto . 2.   Le spese proces suali consistenti: a. nella tassa di giustizia di                                  fr.    600.– b. nelle spese di cancelleria di complessivi       fr.       80.– per un totale di                                                       fr.    680 .– sono a carico dei ricorrenti. 3.   Contro il presente giudiz io è dato ricorso in materia di diritto pubblico al Tribunale federale in Losanna, entro 30 g io rni (art. art. 82 ss. LTF). 4.   Intimazione a: - ; - ; - .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