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80.2007.19 vom 27. Dezember 2006</w:t>
      </w:r>
    </w:p>
    <w:p>
      <w:r>
        <w:t>TI Tribunale d'appello, 2006-12-27, IT</w:t>
      </w:r>
    </w:p>
    <w:p>
      <w:r>
        <w:rPr>
          <w:b/>
        </w:rPr>
        <w:t xml:space="preserve">Quelle: </w:t>
      </w:r>
      <w:r>
        <w:t>https://mcp.opencaselaw.ch/entscheid/ti_gerichte_80.2007.19</w:t>
      </w:r>
    </w:p>
    <w:p>
      <w:r>
        <w:t>FR: TI_GERICHTE 80.2007.19 du 27 décembre 2006</w:t>
      </w:r>
    </w:p>
    <w:p>
      <w:r>
        <w:t>IT: TI_GERICHTE 80.2007.19 del 27 dicembre 2006</w:t>
      </w:r>
    </w:p>
    <w:p>
      <w:pPr>
        <w:pStyle w:val="Heading2"/>
      </w:pPr>
      <w:r>
        <w:t>Regeste</w:t>
      </w:r>
    </w:p>
    <w:p>
      <w:r>
        <w:t>TUI: costi di investimento: non sostituzione sanitari e piastrelle, un terzo sostituzione cucina</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w:t>
      </w:r>
    </w:p>
    <w:p>
      <w:r>
        <w:t>1. Il ricorrente considera deducibili dall’utile immobiliare, quali costi di miglioria, le seguenti spese: -  sostituzione cucina (80% fattura __________)                                            fr.  8’972. – -  sostituzione apparecchi sanitari (fattura __________)                                                     fr.  4'455. – -  fornitura piastrelle (fatture __________)                                                     fr. 3'333.10 totale                                                                                    fr. 16'760.10 L’autorità di tassazione, da parte sua, ha ammesso in deduzione solo un terzo della spesa per la sostituzione della cucina, pari a fr. 3'738. – , considerando le altre spese costi di manutenzione ordinaria.</w:t>
      </w:r>
    </w:p>
    <w:p>
      <w:r>
        <w:rPr>
          <w:b/>
        </w:rPr>
        <w:t>E. 2.2</w:t>
      </w:r>
    </w:p>
    <w:p>
      <w:r>
        <w:t>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w:t>
      </w:r>
    </w:p>
    <w:p>
      <w:r>
        <w:rPr>
          <w:b/>
        </w:rPr>
        <w:t>E. 2.3</w:t>
      </w:r>
    </w:p>
    <w:p>
      <w:r>
        <w:t>Per quanto attiene, in particolar modo, ai costi di costruz io ne e di migl io ria, la loro computabilità presuppone che essi abbiano aumentato il valore del fondo alienato, c io è che abbiano apportato all’immobile un migl io 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Computabili sono in primo luogo tutti i costi di costruz io ne, ivi comprese le spese per misuraz io ni, prestaz io ni d’opera, canalizzaz io ne, recinz io ne, realizzaz io ne di un giardino, ecc. Il caso più importante è quello della costruz io ne su di un fondo non edificato; vengono tuttavia considerati anche tutti i costi per costruz io ni realizzate in relaz io ne ad un edific io già esistente ( Soldini/Pedroli , op. cit., p. 258 e dottrina e giurisprudenza ivi citate).</w:t>
      </w:r>
    </w:p>
    <w:p>
      <w:r>
        <w:rPr>
          <w:b/>
        </w:rPr>
        <w:t>E. 2.4</w:t>
      </w:r>
    </w:p>
    <w:p>
      <w:r>
        <w:t>Non possono invece essere fatte valere le spese che sono state dedotte nella determinaz io ne del reddito o dell’utile nell’ambito della tassaz io ne ordinaria (art. 134 cpv. 2 LT). La legge tributaria prevede in primo luogo la deduz io ne dai proventi della sostanza immobiliare privata delle spese di manutenz io ne, dei premi di assicuraz io ne e delle spese di amministraz io ne da parte di terzi (art. 31 cpv. 2 LT). Per costante giurisprudenza sono considerate spese di manutenz io ne quelle che, senza aumentare il valore dell’immobile, ne preservano lo stato, ne conservano l’uso e ne mantengono la redditività (p. es. RDAT II-1992 p. 207; RDAT II-1993 p. 390). Ai fini della determinaz io ne del reddito imponibile non sono invece deducibili le “spese di acquisto, di fabbricaz io ne o di migl io ria di beni patrimoniali” (art. 33 lett. d LT). La distinz io ne tra spese di manutenz io ne e spese di migl io ria tuttavia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 io possono assumere in parte carattere di manutenz io ne e in parte carattere di migl io ria. Per ovviare a queste difficoltà la prassi della Divis io ne delle Contribuz io ni suole operare in simili casi una suddivis io ne della spesa effettuata, espressa in fraz io ne, tra spesa di manutenz io ne deducibile e spesa di migl io ria non deducibile ( Circolare n. 7/2005 del genna io 2006).</w:t>
      </w:r>
    </w:p>
    <w:p>
      <w:r>
        <w:rPr>
          <w:b/>
        </w:rPr>
        <w:t>E. 2.5</w:t>
      </w:r>
    </w:p>
    <w:p>
      <w:r>
        <w:t>Venendo alle spese sostenute dal ricorrente, è immediatamente evidente che quelle per la sostituzione degli apparecchi sanitari (vasca da bagno, lavabo, vaso e mobile) sono tipici costi di manutenz io ne, che non sono in alcun modo suscettibili di aumentare il valore dell’immobile. Lo stesso discorso vale anche per la fornitura delle nuove piastrelle. In primo luogo, RI 1 non sostiene che esse siano qualitativamente superiori rispetto al vecchio materiale (cfr. Circolare n. 7/2005 citata, distinta allegata, n. 18); in secondo luogo, per sua stessa ammissione, le pareti del bagno già erano rivestite (cfr. Circolare n. 7/2005 citata, distinta allegata, n. 2). La circostanza che le vecchie piastrelle fossero per “la maggior parte scagliate” e che il rivestimento delle pareti del bagno sia stato rialzato “a causa di umidità e muffa ampiamente estesa” non fa assurgere le relative spese a costi di investimento. Si tratta piuttosto di spese di riparazione (“ Instanstellungskosten ”) che servono a compensare una perdita di valore accresciuta, originata dalla mancata esecuzione delle spese di manutenzione in senso stretto (“ Instandhaltungskosten ”; cfr., al proposito, Zwahlen , Die einkommensteuerrechtliche Behandlung von Liegenschaftskosten, Basilea 1986, p. 84-85). Medesimo discorso vale infine per la fornitura e la posa della nuova cucina. È infatti indubbio che si tratti anche in questo caso di una “sostituzione”, giacché la cucina già esisteva e disponeva di un piano cottura, forno, lavello, frigo e mobili. È ben vero che la vecchia combinazione era sprovvista di alcuni armadi ed elettrodomestici (lavastoviglie, cappa e congelatore). Tuttavia, proprio per tener conto del fatto che la combinazione sostitutiva presenta questi nuovi elementi e dunque un valore superiore rispetto a quella sostituita, l’autorità di tassazione ha considerato spesa di miglioria un terzo del costo in questione. Poco importa invece che il vecchio piano di cottura fosse, a detta del ricorrente, inservibile: se installazioni non più conformi alle esigenze moderne vengono rimpiazzate con altre che svolgono la medesima funzione, le relative spese non assurgono infatti a costi di investimento ( Zwahlen , op. cit., p. 87-88). In questo contesto, la decisione dell’Ufficio di tassazione, conforme alla prassi adottata dalla Divis io ne delle Contribuzioni (Circolare n. 7/2005 citata, distinta allegata, n. 6) per ovviare, già lo si è detto, alle difficoltà insite nella distinzione tra spese di manutenz io ne e spese di miglioria, va senz’altro tutelata.</w:t>
      </w:r>
    </w:p>
    <w:p>
      <w:r>
        <w:rPr>
          <w:b/>
        </w:rPr>
        <w:t>E. 2.6</w:t>
      </w:r>
    </w:p>
    <w:p>
      <w:r>
        <w:t>Un’altra soluzione non si giustifica nemmeno con riguardo alla c.d. prassi Dumont , peraltro non invocata dal ricorrente, che negli anni ha conosciuto una certa attenuazione e va ora applicata ai soli casi in cui è evidente che le spese per il rinnovo di un immobile acquistato da poco hanno comportato un incremento di valore dell’oggetto stesso (cfr., al proposito, RtiD I-2006 n. 9t).</w:t>
      </w:r>
    </w:p>
    <w:p>
      <w:r>
        <w:rPr>
          <w:b/>
        </w:rPr>
        <w:t>E. 3</w:t>
      </w:r>
    </w:p>
    <w:p>
      <w:r>
        <w:t>Il ricorso è conseguentemente respinto. Tassa di giustizia e spese processuali sono a carico del ricorrente, soccombente. Per questi motivi, visti per le spese l’art. 231 LT dichiara e pronuncia 1.   Il ricorso è respinto . 2.   Le spese processuali consistenti: a. nella tassa di giustizia di                                  fr.    300.– b. nelle spese di cancelleria di complessivi       fr.       80.– per un totale di                                                       fr.    380 .– sono a carico del ricorrente. 3.   Contro il presente giudizio è dato ricorso in materia di diritto pubblico al Tribunale federale in Losanna, entro 30 giorni (art. 73 LAID; art. 82 ss. LTF). 4.   Intimazione a: -; -; -. Copia per conoscenza: - municipio di __________. terzi implicati PI 1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