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80.2007.144 vom 9. Oktober 2007</w:t>
      </w:r>
    </w:p>
    <w:p>
      <w:r>
        <w:t>TI Tribunale d'appello, 2007-10-09, IT</w:t>
      </w:r>
    </w:p>
    <w:p>
      <w:r>
        <w:rPr>
          <w:b/>
        </w:rPr>
        <w:t xml:space="preserve">Quelle: </w:t>
      </w:r>
      <w:r>
        <w:t>https://mcp.opencaselaw.ch/entscheid/ti_gerichte_80.2007.144</w:t>
      </w:r>
    </w:p>
    <w:p>
      <w:r>
        <w:t>FR: TI_GERICHTE 80.2007.144 du 9 octobre 2007</w:t>
      </w:r>
    </w:p>
    <w:p>
      <w:r>
        <w:t>IT: TI_GERICHTE 80.2007.144 del 9 ottobre 2007</w:t>
      </w:r>
    </w:p>
    <w:p>
      <w:pPr>
        <w:pStyle w:val="Heading2"/>
      </w:pPr>
      <w:r>
        <w:t>Regeste</w:t>
      </w:r>
    </w:p>
    <w:p>
      <w:r>
        <w:t>Bollo cantonale: istromenti, esenzione soggettiva, non persone giuridiche di pubblica utilità</w:t>
      </w:r>
    </w:p>
    <w:p>
      <w:pPr>
        <w:pStyle w:val="Heading2"/>
      </w:pPr>
      <w:r>
        <w:t>Erwägungen</w:t>
      </w:r>
    </w:p>
    <w:p>
      <w:r>
        <w:rPr>
          <w:b/>
        </w:rPr>
        <w:t>E. 2</w:t>
      </w:r>
    </w:p>
    <w:p>
      <w:r>
        <w:t>LBol ma che “occorra ricercarne il reale senso in conformità con lo spirito della legge stessa ed il suo inserimento nei rapporti fra Stato ed enti non statali di pubblica utilità”. D. Sia la Divisione delle contribuzioni sia l’Ufficio dei registri hanno presentato osservazioni al ricorso, chiedendone la reiezione. Diritto 1. 1. 1. È soggetta all’imposta di bollo la copia insinuata all’Archivio notarile degli istromenti di carattere determinato o determinabile (art. 19 LBol). L’imposta di bollo sulla copia degli istromenti destinati all’Archivio notarile è di fr.</w:t>
      </w:r>
    </w:p>
    <w:p>
      <w:r>
        <w:rPr>
          <w:b/>
        </w:rPr>
        <w:t>E. 2.1</w:t>
      </w:r>
    </w:p>
    <w:p>
      <w:r>
        <w:t>Nella fattispecie, è litigioso l’assoggettamento all’imposta di bollo dell’atto pubblico del 31 agosto 2007, con cui l’__________ ha venduto alla RI 1 la proprietà immobiliare di __________, sede di un istituto per minorenni.</w:t>
      </w:r>
    </w:p>
    <w:p>
      <w:r>
        <w:rPr>
          <w:b/>
        </w:rPr>
        <w:t>E. 2.2</w:t>
      </w:r>
    </w:p>
    <w:p>
      <w:r>
        <w:t>La legge cantonale sull’imposta di bollo non contiene disposizioni che concernano espressamente le esenzioni soggettive. All’art. 13 LBol, che disciplina la responsabilità contributiva, si tiene tuttavia conto delle conseguenze che può avere sulla ripartizione del tributo fra le parti contraenti il fatto che una di esse sia un ente pubblico esente in virtù del diritto federale o cantonale. Il primo capoverso dell’art. 13 afferma dunque il principio per cui l’imposta di bollo è dovuta allo Stato dalle parti contraenti in solido. Le parti sopporteranno internamente l’imposta in parti uguali, riservata una diversa ripartizione per convenzione privata. L’art. 13 cpv. 2 LBol precisa quindi che la Confederazione, il Cantone o altri enti di diritto pubblico secondo la legislazione federale o cantonale non sono soggetti ai diritti di bollo di cui alla presente legge. Fanno eccezione la Banca dello Stato e le aziende pubbliche di distribuzione di energia. Su tale base, l’art. 13 cpv. 3 LBol stabilisce che contratti e atti notarili stipulati tra un ente pubblico e un privato sono imponibili nella misura del 50 per cento ed a carico interamente del privato.</w:t>
      </w:r>
    </w:p>
    <w:p>
      <w:r>
        <w:rPr>
          <w:b/>
        </w:rPr>
        <w:t>E. 2.3</w:t>
      </w:r>
    </w:p>
    <w:p>
      <w:r>
        <w:t>La definizione dei soggetti che beneficiano dell’esenzione secondo l’art. 13 LBol è estremamente chiara e non si presta ad alcuna interpretazione. Non può pertanto essere seguita la proposta della ricorrente di discostarsi da “un’interpretazione puramente letterale dell’art. 13 cpv. 2 della legge sull’imposta di bollo e sugli spettacoli cinematografici”, per “ricercarne il reale senso in conformità con lo spirito della legge stessa ed il suo inserimento nei rapporti fra Stato ed enti non statali di pubblica utilità”. Secondo la giurisprudenza, una norma va innanzitutto interpretata secondo il suo tenore letterale ( interpretazione letterale ). Se il testo legale non è assolutamente chiaro, o se più interpretazioni, come in concreto,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(DTF 129 I 12 consid. 3.3; 128 II 56 consid. 4, 66 consid. 4a; 128 I 34 consid. 3b; 126 II 71 consid. 6d p. 80 s.). Neppure la ricorrente offre indicazioni che potrebbero supportare la tesi secondo cui il testo della legge possa essere ritenuto non chiaro; al contrario, proprio il fatto che la legge stessa, pur prevedendo un numero relativamente limitato di disposizioni, si occupi espressamente dei casi di esenzione soggettiva e delle loro conseguenze, dimostra che la volontà del legislatore era di limitare il campo di applicazione della norma sull’esenzione rispetto a quanto vale nell’ambito di altre imposte. In ossequio al principio in claris not fit interpretatio , si deve così ritenere che l’art. 13 cpv. 2 LBol non si presti ad interpretazione nel senso auspicato dalla ricorrente.</w:t>
      </w:r>
    </w:p>
    <w:p>
      <w:r>
        <w:rPr>
          <w:b/>
        </w:rPr>
        <w:t>E. 2.4</w:t>
      </w:r>
    </w:p>
    <w:p>
      <w:r>
        <w:t>Per analoghe ragioni, deve pure essere respinta la tesi della ricorrente, secondo cui vi sarebbe una “lacuna legislativa che deve essere risolta nel senso di una estensione dell’esonero al caso in esame, al fine di evitare che un passaggio di proprietà tra enti destinati ad assolvere finalità pubbliche venga inutilmente aggravato da oneri che finirebbero per ostacolare, almeno dal punto di vista economico, il mandato pubblico previsto nella legge”. 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 lacuna propria ;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 silenzio qualificato ) e corrisponde a una norma negativa oppure quando l'omissione consiste nella mancanza di una regola desiderabile ( lacuna impropria ), perché in tal caso si sostituirebbe al legislatore; egli può tuttavia farlo se costituisce abuso di diritto o addirittura viola la Costituzione invocare il senso considerato determinante della normativa (DTF 126 II 71 consid. 6d p. 80; 124 V 271 consid. 2a, 346 consid. 3b/aa). Anche a tale riguardo, deve essere sottolineato che la semplice circostanza che la legge non preveda la fattispecie di esenzione auspicata dalla ricorrente non può significare che si sia in presenza di una lacuna propria. Al contrario, proprio il fatto che la legge preveda precisi casi di esonero dal tributo in questione, esclude che si possa parlare di una lacuna propria. Ciò che chiede la ricorrente è invece un intervento con cui il giudice si sostituisca al legislatore, affiancando alle ipotesi di esenzione espressamente previste quella delle persone giuridiche di pubblica utilità.</w:t>
      </w:r>
    </w:p>
    <w:p>
      <w:r>
        <w:rPr>
          <w:b/>
        </w:rPr>
        <w:t>E. 2.5</w:t>
      </w:r>
    </w:p>
    <w:p>
      <w:r>
        <w:t>È ancora il caso di rilevare che non è solo in materia di imposta di bollo che la legislazione tributaria prevede delle fattispecie di esenzione soggettiva diverse da quelle vigenti nell’ambito delle imposte dirette e di quelle di successione e donazione. È il caso, in particolare, dell’imposta sugli utili immobiliari: l’art. 126 LT contempla quattro ipotesi di esenzione soggettiva dall’imposta, riprendendo in sostanza le lettere a, b, c e i dell’art. 65 LT sull’esenzione delle persone giuridiche dalle imposte ordinarie ed escludendo in tal modo gli enti di diritto pubblico con scopi di pubblica utilità che non perseguono fini di lucro (cfr. Soldini/Pedroli , L’imposizione degli utili immobiliari, Lugano, 1996, p. 141). Tale soluzione è del resto imposta ai cantoni dalla legge federale del 14 dicembre 1990 sull’armonizzazione delle imposte dirette dei cantoni e dei comuni (art. 23 cpv. 4 LAID). La descritta differenza fra le imposte ordinarie (sull’utile e sul capitale) e l’imposta sugli utili immobiliari sarebbe riconducibile all’esigenza di evitare che la concorrenza sia alterata da vantaggi fiscali di cui potrebbero beneficiare alcuni concorrenti; ciò spiega perché siano assoggettate all’imposta sugli utili immobiliari anche le istituzioni di previdenza ( Langenegger , Handbuch zur bernischen Grundstückgewinnsteuer 2001, Muri/Berna, 2002, p. 29). Lo stesso ragionamento si impone, a maggior ragione, quando si tratta non di un’imposta diretta, come l’imposta sugli utili immobiliari, bensì di un’imposta indiretta, come il bollo. Non è quindi incomprensibile che il legislatore abbia potuto decidere di assoggettare all’imposta di bollo i trasferimenti immobiliari in cui uno o entrambi i contraenti sono persone giuridiche che perseguono scopi di pubblico interesse.</w:t>
      </w:r>
    </w:p>
    <w:p>
      <w:r>
        <w:rPr>
          <w:b/>
        </w:rPr>
        <w:t>E. 3</w:t>
      </w:r>
    </w:p>
    <w:p>
      <w:r>
        <w:t>Il ricorso è conseguentemente respinto. Tassa di giustizia e spese processuali, stabilite tenendo conto dello scopo di pubblica utilità perseguito dalla ricorrente, sono a carico di quest’ultima, soccombente. Per questi motivi, visti per le spese gli art. 144 LIFD e 231 LT dichiara e pronuncia 1.   Il ricorso è respinto . 2.   Le spese processuali consistenti: a. nella tassa di giustizia di                                  fr.    200.– b. nelle spese di cancelleria di complessivi       fr.       80.– per un totale di                                                       fr.    280 .– sono a carico della ricorrente. 3.   Contro il presente giudizio è dato ricorso in materia di diritto pubblico al Tribunale federale in Losanna, entro 30 giorni (art. 146 LIFD; art. 73 LAID; art. 82 ss. LTF). 4.   Intimazione a: - ; - ; - . terzi implicati PI 1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