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80.2003.66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https://mcp.opencaselaw.ch/entscheid/ti_gerichte_80.2003.66</w:t>
      </w:r>
    </w:p>
    <w:p>
      <w:r>
        <w:t>FR: TI_GERICHTE 80.2003.66 du 28 mai 2003</w:t>
      </w:r>
    </w:p>
    <w:p>
      <w:r>
        <w:t>IT: TI_GERICHTE 80.2003.66 del 28 maggio 2003</w:t>
      </w:r>
    </w:p>
    <w:p>
      <w:pPr>
        <w:pStyle w:val="Heading2"/>
      </w:pPr>
      <w:r>
        <w:t>Volltext</w:t>
      </w:r>
    </w:p>
    <w:p>
      <w:r>
        <w:t>Incarto n.80.2003.66</w:t>
      </w:r>
    </w:p>
    <w:p>
      <w:r>
        <w:t>Lugano</w:t>
      </w:r>
    </w:p>
    <w:p>
      <w:r>
        <w:t>28 maggio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22 maggio 2003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1. ____________________,____________________</w:t>
      </w:r>
    </w:p>
    <w:p>
      <w:r>
        <w:t>2. ____________________,____________________</w:t>
      </w:r>
    </w:p>
    <w:p>
      <w:r>
        <w:t>-   preso atto che con lettera del  28 maggio 2003 la rappresentante dei ricorrenti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