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80.2003.25 vom 6. Mai 2003</w:t>
      </w:r>
    </w:p>
    <w:p>
      <w:r>
        <w:t>TI Tribunale d'appello, 2003-05-06, IT</w:t>
      </w:r>
    </w:p>
    <w:p>
      <w:r>
        <w:rPr>
          <w:b/>
        </w:rPr>
        <w:t xml:space="preserve">Quelle: </w:t>
      </w:r>
      <w:r>
        <w:t>https://mcp.opencaselaw.ch/entscheid/ti_gerichte_80.2003.25</w:t>
      </w:r>
    </w:p>
    <w:p>
      <w:r>
        <w:t>FR: TI_GERICHTE 80.2003.25 du 6 mai 2003</w:t>
      </w:r>
    </w:p>
    <w:p>
      <w:r>
        <w:t>IT: TI_GERICHTE 80.2003.25 del 6 maggio 2003</w:t>
      </w:r>
    </w:p>
    <w:p>
      <w:pPr>
        <w:pStyle w:val="Heading2"/>
      </w:pPr>
      <w:r>
        <w:t>Regeste</w:t>
      </w:r>
    </w:p>
    <w:p>
      <w:r>
        <w:t>Sentenza o decisione senza scheda</w:t>
      </w:r>
    </w:p>
    <w:p>
      <w:pPr>
        <w:pStyle w:val="Heading2"/>
      </w:pPr>
      <w:r>
        <w:t>Erwägungen</w:t>
      </w:r>
    </w:p>
    <w:p>
      <w:r>
        <w:rPr>
          <w:b/>
        </w:rPr>
        <w:t>E. 6</w:t>
      </w:r>
    </w:p>
    <w:p>
      <w:r>
        <w:t>Ne consegue concretamente che il ricorrente dovrà presentare la dichiarazione d’imposta 2003A al Canton Ticino, che varrà quale domanda di revisione della tassazione 2001-2002°, indicando redditi e spese straordinari, in particolare queste ultime e, meglio, quelle relative alla frequentazione dell' Executive MBE. Il Canton Ticino dovrà quindi stabilire innanzi tutto se le spese in questione configurano spese di perfezionamento professionale deducibili e in secondo luogo se debbono essere considerate straordinarie. Posto che le stesse sono maturate tra l’agosto/settembre del 2001 e l’aprile del 2002, quindi prima del trasferimento del domicilio nel Canton Berna, avvenuto il 30 aprile 2002, la competenza parrebbe spettare interamente al Canton Ticino. Sarà se del caso premura del contribuente farle valere per l’IC anche nel Canton Berna, qualora le spese straordinarie si fossero protratte anche dopo l’arrivo in quel Cantone.</w:t>
      </w:r>
    </w:p>
    <w:p>
      <w:r>
        <w:rPr>
          <w:b/>
        </w:rPr>
        <w:t>E. 7</w:t>
      </w:r>
    </w:p>
    <w:p>
      <w:r>
        <w:t>Questa Camera rinuncia a prelevare spese e tassa di giustizia in considerazione della motivazione non propriamente pertinente della decisione su reclamo, che non toccava minimamente la tematica del passaggio da un regime di tassazione all’altro. Per questi motivi, visti per le spese gli art. 144 LIFD e 231 LT dichiara e pronuncia 1.   Il ricorso è respinto a’ sensi dei considerandi . 2.   Non si prelevano né tassa di giustizia né spese.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