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80.2003.164 vom 9. März 2010</w:t>
      </w:r>
    </w:p>
    <w:p>
      <w:r>
        <w:t>TI Tribunale d'appello, 2010-03-09, IT</w:t>
      </w:r>
    </w:p>
    <w:p>
      <w:r>
        <w:rPr>
          <w:b/>
        </w:rPr>
        <w:t xml:space="preserve">Quelle: </w:t>
      </w:r>
      <w:r>
        <w:t>https://mcp.opencaselaw.ch/entscheid/ti_gerichte_80.2003.164</w:t>
      </w:r>
    </w:p>
    <w:p>
      <w:r>
        <w:t>FR: TI_GERICHTE 80.2003.164 du 9 mars 2010</w:t>
      </w:r>
    </w:p>
    <w:p>
      <w:r>
        <w:t>IT: TI_GERICHTE 80.2003.164 del 9 marzo 2010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</w:t>
      </w:r>
    </w:p>
    <w:p>
      <w:r>
        <w:rPr>
          <w:b/>
        </w:rPr>
        <w:t>E. 4</w:t>
      </w:r>
    </w:p>
    <w:p>
      <w:r>
        <w:t>Il problema sollevato nel ricorso è semplicemente quello del valore della cessione in caso di pagamento a rate. In altre parole, se la ricorrente avesse ceduto il giorno dopo la vendita il suo credito di fr. 300'000.- incassabile in rate mensili di fr. 4'000.-su un arco di oltre sei anni, disponendo  - anche se non interessa in questa sede -  di sufficienti garanzie, quanto avrebbe ricvevuto. In altre parole, il problema è in sostanza quello di conoscere il valore del credito al 1° gennaio 2003 (data da cui decorre il pagamento rateale) del credito di fr. 300'000.-. Detto questo, occorre ricordare che, secondo l'art. 41 cpv. 2 LT, la sostanza è valutata al suo valore venale. Va ricordato che fra gli elementi che diminuiscono il valore di una alienazione rientra il differimento del pagamento del prezzo: come l'anticipo del pagamento del prezzo comporta un incremento del valore della cessione, analogamente il suo differimento a un momento successivo dà luogo a una riduzione. Non ne va diversamente nel caso in cui il cedente viene pagato non in denaro contante, ma mediante crediti o titoli o altri valori. Una deroga al principio del valore nominale è tuttavia ammissibile solo quando il minor valore del mezzo di pagamento esiste già al momento dell'alienazione. Imponibile è infatti unicamente il guadagno effettivamente conseguito dal venditore. Non possono invece essere prese in considerazione diminuzioni di valore sorte in epoca successiva ( Soldini/Pedroli , L'imposizione degli utili immobiliari, Lugano 1996, p. 229). no terzi implicati 1. _PINT1 2. _PINT2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