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80.2003.141 vom 10. Juni 2002</w:t>
      </w:r>
    </w:p>
    <w:p>
      <w:r>
        <w:t>TI Tribunale d'appello, 2002-06-10, IT</w:t>
      </w:r>
    </w:p>
    <w:p>
      <w:r>
        <w:rPr>
          <w:b/>
        </w:rPr>
        <w:t xml:space="preserve">Quelle: </w:t>
      </w:r>
      <w:r>
        <w:t>https://mcp.opencaselaw.ch/entscheid/ti_gerichte_80.2003.141_d20020610</w:t>
      </w:r>
    </w:p>
    <w:p>
      <w:r>
        <w:t>FR: TI_GERICHTE 80.2003.141 du 10 juin 2002</w:t>
      </w:r>
    </w:p>
    <w:p>
      <w:r>
        <w:t>IT: TI_GERICHTE 80.2003.141 del 10 giugno 2002</w:t>
      </w:r>
    </w:p>
    <w:p>
      <w:pPr>
        <w:pStyle w:val="Heading2"/>
      </w:pPr>
      <w:r>
        <w:t>Regeste</w:t>
      </w:r>
    </w:p>
    <w:p>
      <w:r>
        <w:t>Sentenza o decisione senza scheda</w:t>
      </w:r>
    </w:p>
    <w:p>
      <w:pPr>
        <w:pStyle w:val="Heading2"/>
      </w:pPr>
      <w:r>
        <w:t>Erwägungen</w:t>
      </w:r>
    </w:p>
    <w:p>
      <w:r>
        <w:rPr>
          <w:b/>
        </w:rPr>
        <w:t>E. 4</w:t>
      </w:r>
    </w:p>
    <w:p>
      <w:r>
        <w:t>Va infine rilevato che la norma dell'art. 127 cpv. 3 Cost. fed. (di tenore analogo all’art. 46 cpv. 2 v. Cost. fed.), volta a impedire i casi di doppia imposizione non ha come conseguenza di limitare la sovranità fiscale di un cantone in favore di un altro, sicché, se un contribuente è imponibile in più cantoni, ognuno di essi applica, per quanto lo concerne, la propria legge fiscale sia per quanto attiene al merito sia per quanto attiene alla procedura ( Höhn , Interkantonales Steuerrecht, 3a ediz., Berna 1993, p. 529 ss.). Al ricorrente rimane pure sempre riservata la facoltà di sollevare l'eccezione derivante dall'art. 127 cpv. 3 Cost. fed. nel termine di 30 giorni dall'ultima decisione cantonale, mediante ricorso di diritto pubblico al Tribunale federale (cfr. art. 89 cpv. 3 OG; DTF 111 Ia 45, c. 1a e richiami; ASA 53 pag. 212; RTT 1984 pag. 241 segg.; STF dell'8 gennaio 1986 in re F. St.: Höhn , op. cit., p. 530; CDT n. 377 del 5 novembre 1987 in re K.M.). Sarà quindi verosimilmente solo in questa sede che le divergenze in materia di riparto intercantonale potranno venire definitivamente appianate. Per questi motivi, visto per le spese l'art. 231 LT dichiara e pronuncia 1.   Il ricorso è respinto . 2.   Le spese processuali consistenti: a. nella tassa di giustizia di                                  fr.    400.– b. nelle spese di cancelleria di complessivi       fr.       80.– per un totale di                                                       fr.    480.–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