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80.2003.121 vom 3. Oktober 2003</w:t>
      </w:r>
    </w:p>
    <w:p>
      <w:r>
        <w:t>TI Tribunale d'appello, 2003-10-03, IT</w:t>
      </w:r>
    </w:p>
    <w:p>
      <w:r>
        <w:rPr>
          <w:b/>
        </w:rPr>
        <w:t xml:space="preserve">Quelle: </w:t>
      </w:r>
      <w:r>
        <w:t>https://mcp.opencaselaw.ch/entscheid/ti_gerichte_80.2003.121</w:t>
      </w:r>
    </w:p>
    <w:p>
      <w:r>
        <w:t>FR: TI_GERICHTE 80.2003.121 du 3 octobre 2003</w:t>
      </w:r>
    </w:p>
    <w:p>
      <w:r>
        <w:t>IT: TI_GERICHTE 80.2003.121 del 3 ottobre 2003</w:t>
      </w:r>
    </w:p>
    <w:p>
      <w:pPr>
        <w:pStyle w:val="Heading2"/>
      </w:pPr>
      <w:r>
        <w:t>Regeste</w:t>
      </w:r>
    </w:p>
    <w:p>
      <w:r>
        <w:t>Sentenza o decisione senza scheda</w:t>
      </w:r>
    </w:p>
    <w:p>
      <w:pPr>
        <w:pStyle w:val="Heading2"/>
      </w:pPr>
      <w:r>
        <w:t>Erwägungen</w:t>
      </w:r>
    </w:p>
    <w:p>
      <w:r>
        <w:rPr>
          <w:b/>
        </w:rPr>
        <w:t>E. 3</w:t>
      </w:r>
    </w:p>
    <w:p>
      <w:r>
        <w:t>La Camera di diritto tributario, conformemente all’art. 26c cpv. 2 della legge organica giudiziaria civile e penale del 24 novembre 1910, modificata il 14 maggio 1998, decide nella composizione di un Giudice unico la presente causa, che non pone questioni di principio e non è di rilevante importanza.</w:t>
      </w:r>
    </w:p>
    <w:p>
      <w:r>
        <w:rPr>
          <w:b/>
        </w:rPr>
        <w:t>E. 4</w:t>
      </w:r>
    </w:p>
    <w:p>
      <w:r>
        <w:t>Con il presente ricorso il ricorrente contesta unicamente il riparto d'imposta intercantonale allestito dall'autorità fiscale ticinese, che é allegato alla decisione su reclamo. Non è invece contestata la tassazione emessa dal Canton Ticino, cantone di domicilio del contribuente, in materia di IFD.</w:t>
      </w:r>
    </w:p>
    <w:p>
      <w:r>
        <w:rPr>
          <w:b/>
        </w:rPr>
        <w:t>E. 4.1</w:t>
      </w:r>
    </w:p>
    <w:p>
      <w:r>
        <w:t>Secondo l’art. 5 cpv. 3 prima frase LT, n elle relazioni intercantonali e internazionali sono applicabili i principi del diritto federale concernenti il divieto di doppia imposizione intercantonale.</w:t>
      </w:r>
    </w:p>
    <w:p>
      <w:r>
        <w:rPr>
          <w:b/>
        </w:rPr>
        <w:t>E. 4.2</w:t>
      </w:r>
    </w:p>
    <w:p>
      <w:r>
        <w:t>Nel caso in esame non sono in discussione tanto i principi che disciplinano la ripartizione di redditi e sostanza tra cantoni, quanto piuttosto unicamente gli importi presi in considerazione dall’UT a titolo di reddito della sostanza, come emerge dalle cifre evidenziate in giallo nei documenti che il ricorrente ha allegato al ricorso.</w:t>
      </w:r>
    </w:p>
    <w:p>
      <w:r>
        <w:rPr>
          <w:b/>
        </w:rPr>
        <w:t>E. 4.3</w:t>
      </w:r>
    </w:p>
    <w:p>
      <w:r>
        <w:t>La censura, a una più attenta lettura del riparto del Canton Glarona, su cui si fonda il ricorrente, e quello del Canton Ticino, appare manifestamente infondata. È senz’altro vero che in apparenza i redditi presi in considerazione dal Canton Ticino sono più elevati di quelli glaronesi, ma la differenza è soltanto apparente, poiché i redditi glaronesi sono redditi netti mentre quelli ticinesi sono redditi lordi, dai quali sono poi state operate le relative deduzioni. Basti un esempio: se si prende il reddito da immobili (valore locativo compreso) nel Canton Glarona, esposto nel riparto ticinese 1999-2000 in fr. 19'920.- e si deducono le spese di manutenzione di fr. 4'980.- si ha un reddito netto di fr. 14'940.-, pari alla somma dei seguenti importi: fr. 7'200.- (__________) + fr. 3'840.- (__________) + fr. 3'900.- (__________). Lo steso dicasi per i redditi immobiliari sangallesi e zurighesi. In altre parole, l’UT di __________ si è scrupolosamente attenuto alle indicazioni del riparto intercantonale allestito dal Canton Glarona, sia per il periodo fiscale 1999-2000 sia per il successivo, in cui l’unica modifica dipende dalla rettifica del valore di stima di __________ in sintonia con la comunicazione dell’ 11 dicembre 2000 del Ufficio fiscale comunale (Gemeidesteueramt) di quel Comune. Alla luce di queste spiegazioni, per altro già fornite al contribuente  - così si presume-  in occasione delle due udienze che hanno avuto luogo prima delle decisioni su reclamo contestate, il ricorso si manifesta chiaramente infondato. Per questi motivi, visti per le spese l'art. 231 LT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