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80.2002.58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https://mcp.opencaselaw.ch/entscheid/ti_gerichte_80.2002.58</w:t>
      </w:r>
    </w:p>
    <w:p>
      <w:r>
        <w:t>FR: TI_GERICHTE 80.2002.58 du 6 mai 2002</w:t>
      </w:r>
    </w:p>
    <w:p>
      <w:r>
        <w:t>IT: TI_GERICHTE 80.2002.58 del 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06.05.2002 80.2002.58 Tessin Camera di diritto tributario 06.05.2002 80.2002.58 Ticino Camera di diritto tributario 06.05.2002 80.2002.58</w:t>
      </w:r>
    </w:p>
    <w:p>
      <w:r>
        <w:t>Sentenza o decisione senza scheda</w:t>
      </w:r>
    </w:p>
    <w:p>
      <w:r>
        <w:t>Incarto n. 80.2002.00058 Lugano 6 maggio 2002 In nome della Repubblica e Cantone del Ticino La Camera di diritto tributario del Tribunale d'appello composta dai giudici: Alessandro Soldini, presidente, Stefano Bernasconi, Ivo Eusebio segretario: Fiorenzo Gianinazzi statuendo sul ricorso del 5 aprile 2002 in materia di:                 IC/IFD 01/02 presentato da: __________ __________, __________ __________, ritenuto in fatto ed in diritto -   che nella dichiarazione d’imposta IC/IFD 2001-2000 __________ __________, nata nel 1970, nubile, alle dipendenze di __________ a __________ __________ fino al __________ __________ 2000 e in seguito al beneficio delle indennità di disoccupazione, chiedeva la deduzione di un importo di fr. 11'748.- per spese di trasporto e di fr. 14'796.- per spese di doppia economia; -   che l’Ufficio di tassazione concedeva unicamente le deduzioni connesse con l’attività salariata svolta fino alla fine di gennaio del 2000 presso __________ a __________ __________ e, meglio, fr. 4'050.- per spese di trasporto e fr. 8’015.- per spese di doppia economia domestica (cfr. notifica di tassazione dell’ 8 ottobre 2001), stralciando invece le ulteriori spese durante il periodo di disoccupazione a __________; -   che il reclamo presentato dalla contribuente veniva respinto dall’Ufficio di tassazione con decisione dell’ 11 marzo 2002, argomentando che le spese di viaggio e di doppia economia domestica durante i periodi di disoccupazione non sono deducibili; -   che con il presente, tempestivo ricorso la ricorrente rinnova la richiesta di dedurre integralmente le spese di trasporto e di doppia economia domestica chieste nella dichiarazione d’imposta, avvertendo di essere stata consigliata dall’Ufficio disoccupazione di __________ dopo un paio di mesi di iscriversi all’Ufficio disoccupazione di __________; -   che sia secondo l'art. 25 cpv. 1 LT sia secondo l'art. 26 cpv. 1 LIFD le spese professionali deducibili sono quelle di trasporto necessarie dal domicilio al luogo di lavoro (lett. a), come pure  le spese supplementari necessarie per pasti fuori domicilio o in caso di lavoro a turni (lett. b); -   che per legge sono quindi deducibili soltanto le spese necessarie per recarsi al lavoro e quelle di doppia economia domestica sempre connesse con l’esercizio dell’attività lavorativa; -   che le spese di cui la ricorrente chiede la deduzione non sono in relazione diretta e necessaria con lo svolgimento dell’attività salariata, ma si riferiscono alla ricerca di un nuovo posto di lavoro lontano dal proprio domicilio; -   che se lo stato di disoccupazione della ricorrente perdurasse tuttora, essa potrebbe chiedere all’Ufficio di tassazione di emettere una tassazione intermedia per cessazione dell’attività; -   che infatti, secondo la giurisprudenza cantonale, si emette una tassazione intermedia, retroattivamente dal momento in cui è subentrata la disoccupazione, nei confronti di un lavoratore rimasto senza lavoro, purché la cessazione dell'attività duri oltre due anni ( CDT n.293 del 12 dicembre 1994 in re G. R., con riferimenti; inoltre StE 1996 B 63.13 n. 51, con riferimento al Canton Basilea); -   che per altro la giurisprudenza di alcuni altri Cantoni è più generosa ed esige una cessazione dell’attività di durata inferiore, per es. di almeno sei mesi consecutivi nel canton __________ ( RDAF 56 / 2000 p. 269) o di almeno un anno a Zurigo ( StE 1996 B 63.13 n. 49); -   che pertanto il ricorso non può essere accolto, riservata la facoltà della contribuente di chiedere la tassazione intermedia per cessazione dell’attività dal 1° febbraio 2000, se lo stato di disoccupazione perdura tuttora, come sembrerebbe. Per questi motivi, visti per le spese gli art. 144 LIFD e 231 LT dichiara e pronuncia 1.   Il ricorso è respinto . 2.   Le spese processuali consistenti: a. nella tassa di giustizia di                                  fr.    100.– b. nelle spese di cancelleria di complessivi       fr.       80.– per un totale di                                                       fr.    180.– sono a carico del ricorrente. 3.   Intimazione alle parti. 4.   Per l'IC il presente giudizio è definitivo (art. 230 cpv. 3 LT).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