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80.2002.55 vom 6. Mai 2002</w:t>
      </w:r>
    </w:p>
    <w:p>
      <w:r>
        <w:t>TI Tribunale d'appello, 2002-05-06, IT</w:t>
      </w:r>
    </w:p>
    <w:p>
      <w:r>
        <w:rPr>
          <w:b/>
        </w:rPr>
        <w:t xml:space="preserve">Quelle: </w:t>
      </w:r>
      <w:r>
        <w:t>https://mcp.opencaselaw.ch/entscheid/ti_gerichte_80.2002.55</w:t>
      </w:r>
    </w:p>
    <w:p>
      <w:r>
        <w:t>FR: TI_GERICHTE 80.2002.55 du 6 mai 2002</w:t>
      </w:r>
    </w:p>
    <w:p>
      <w:r>
        <w:t>IT: TI_GERICHTE 80.2002.55 del 6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Stralcio dei fattori di sostanza e di reddito della moglie Resta da esaminare se i fattori di sostanza (titoli) e il relativo reddito appartengano alla moglie e siano quindi imponibili nel suo cantone di domicilio oppure al marito. Dall'esame dell'elenco titoli e della documentazione annessa risulta chiaramente che tutti i titoli e i relativi redditi riportati nell'elenco titoli sono intestati alla moglie e sono depositati presso istituti bancari vodesi. Essi risultano per altro essere stati imposti nel Canton __________, come si rileva anche dalla notifica di tassazione del 14 giugno 1999 di quel Cantone, come pure dalla tassazione provvisoria del 5 marzo 2002. La sostanza mobiliare e il relativo reddito (fr. 1'755.- di media annua), di cui all'elenco titoli, vanno quindi stralciati dalla tassazione del ricorrente. Se lo stralcio di questi fattori comporta una leggera riduzione del reddito imponibile, esso è invece irrilevante per l'imposta sulla sostanza, poiché indipendentemente dallo stralcio di questi fattori la sostanza del contribuente non raggiunge la soglia del minimo imponibile.</w:t>
      </w:r>
    </w:p>
    <w:p>
      <w:r>
        <w:rPr>
          <w:b/>
        </w:rPr>
        <w:t>E. 7</w:t>
      </w:r>
    </w:p>
    <w:p>
      <w:r>
        <w:t>Imposta federale diretta Il ricorrente rileva che entrambi i Cantoni hanno notificato loro la tassazione IFD. La Divisione delle contribuzioni, in una lettera dell'11 aprile 2002 al ricorrente, rileva di essersi accordata con il Canton __________, nel senso che l'Autorità fiscale cantonale ticinese avrebbe concordato con il Canton __________ di assumersi la competenza in materia di IFD e che tale accordo sarebbe stato confermato con uno scritto del 21 gennaio 2002 indirizzato all'Autorità fiscale vodese. Ciò nonostante anche il Canton __________, dopo che il Canton Ticino aveva notificato la decisione su reclamo l'11 marzo 2002 concernente anche l'IFD 2001-02, notificava ai coniugi __________ il 26 marzo 2002 una tassazione provvisoria (?) per il 2001 in materia di IFD. A questo punto, questa Camera non può far altro che annullare la tassazione in materia di IFD e trasmettere per competenza l'incarto fiscale all'Amministrazione federale delle contribuzioni perché proceda nei propri incombenti. Secondo l'art. 108 cpv. 1 LIFD, se il luogo della tassazione è controverso o incerto, esso viene fissato dall'Amministrazione federale delle contribuzioni ove entrino in linea di conto più Cantoni. La decisione dell'Amministrazione federale delle contribuzioni è impugnabile con ricorso di diritto amministrativo al Tribunale federale. Una volta stabilita la competenza, il Cantone designato procederà a notificare nuovamente la tassazione ai contribuenti, dando loro facoltà di impugnarla. A giusta ragione il ricorrente osserva che tra una tassazione e l'altra, emesse entrambe in applicazione di una medesima legge, vi è una differenza d'imponibile di ben fr. 17'000.-! Per questi motivi, visti per le spese gli art. 144 LIFD e 231 LT dichiara e pronuncia 1.   Il ricorso è parzialmente accolto . Di conseguenza: §       la decisione su reclamo dell'11 marzo 2002 in materia di IC è riformata conformemente a quanto stabilito nel consid. 6 e gli atti del procedimento sono retrocessi all'Ufficio di tassazione per l'emissione di nuovi conteggi. §§     la decisione su reclamo dell'11 marzo 2002 in materia di IFD è annullata in ordine e gli atti del procedimento saranno trasmessi all' Amministrazione federale delle contribuzioni perché proceda nei propri incombenti (consid. 7). 2.   Le spese processuali consistenti: a. nella tassa di giustizia di                                  fr.    400.– b. nelle spese di cancelleria di complessivi       fr.       80.– per un totale di                                                       fr.    480 .– sono a carico de l ricorrent e in ragione di due terzi (fr. 320.-). 3.   Intimazione alle parti. 4.   Per l'IC il presente giudizio è definitivo (art. 230 cpv. 3 LT). Per l'IFD è ammesso il ricorso entro 30 giorni al Tribunale federale in Losanna (art. 146 LIFD). per la Camera di diritto tributario del Tribunale d’appello Il presidente: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