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80.2002.18 vom 2. Juli 2002</w:t>
      </w:r>
    </w:p>
    <w:p>
      <w:r>
        <w:t>TI Tribunale d'appello, 2002-07-02, IT</w:t>
      </w:r>
    </w:p>
    <w:p>
      <w:r>
        <w:rPr>
          <w:b/>
        </w:rPr>
        <w:t xml:space="preserve">Quelle: </w:t>
      </w:r>
      <w:r>
        <w:t>https://mcp.opencaselaw.ch/entscheid/ti_gerichte_80.2002.18</w:t>
      </w:r>
    </w:p>
    <w:p>
      <w:r>
        <w:t>FR: TI_GERICHTE 80.2002.18 du 2 juillet 2002</w:t>
      </w:r>
    </w:p>
    <w:p>
      <w:r>
        <w:t>IT: TI_GERICHTE 80.2002.18 del 2 luglio 2002</w:t>
      </w:r>
    </w:p>
    <w:p>
      <w:pPr>
        <w:pStyle w:val="Heading2"/>
      </w:pPr>
      <w:r>
        <w:t>Regeste</w:t>
      </w:r>
    </w:p>
    <w:p>
      <w:r>
        <w:t>Sentenza o decisione senza scheda</w:t>
      </w:r>
    </w:p>
    <w:p>
      <w:pPr>
        <w:pStyle w:val="Heading2"/>
      </w:pPr>
      <w:r>
        <w:t>Erwägungen</w:t>
      </w:r>
    </w:p>
    <w:p>
      <w:r>
        <w:rPr>
          <w:b/>
        </w:rPr>
        <w:t>E. 2</w:t>
      </w:r>
    </w:p>
    <w:p>
      <w:r>
        <w:t>__________ __________,__________ - __________,</w:t>
      </w:r>
    </w:p>
    <w:p>
      <w:r>
        <w:rPr>
          <w:b/>
        </w:rPr>
        <w:t>E. 3</w:t>
      </w:r>
    </w:p>
    <w:p>
      <w:r>
        <w:t>__________ __________,__________ - __________,</w:t>
      </w:r>
    </w:p>
    <w:p>
      <w:r>
        <w:rPr>
          <w:b/>
        </w:rPr>
        <w:t>E. 3.1</w:t>
      </w:r>
    </w:p>
    <w:p>
      <w:r>
        <w:t>Il Cantone preleva un’ imposta di bollo e un’ imposta sugli spettacoli cinematografici (art. 1 cpv. 1 LB) . All’ imposta di bollo sono sottoposti: i contratti per scrittura privata enumerati dalla legge, gli atti notarili, le cartelle ipotecarie e i documenti bancari enumerati dalla legge (art. 1 cpv. 2 lett a-d LB). Soggiacciono all’ imposta di bollo i seguenti contratti stipulati nel Cantone Ticino in forma scritta o parificata a quella scritta: a)  contratti che hanno come oggetto il trasferimento della proprietà di cose mobili secondo l’ art. 713 CCS, compresa l’ energia: in particolare la compravendita, i contratti di forniture successive, la cessione, la permuta di ogni cosa materiale o immateriale; b)  mutui di denaro o di altre cose fungibili; c)   appalti (art. 363 CO) di qualsiasi natura per cui il committente paga una mercede a chi compie prestazioni d’ opera, al di fuori di un rapporto costante di servizio ad eccezione di quelli stipulati da architetti, ingegneri o nell’ ambito di professioni analoghe; 1) d)  mediazione immobiliare art. 2 cpv. 1 LB). Soggiacciono pure all’ imposta i contratti misti che partecipano alle caratteristiche dei tipi indicati nel precedente capoverso (art. 2 cpv. 2 LB).</w:t>
      </w:r>
    </w:p>
    <w:p>
      <w:r>
        <w:rPr>
          <w:b/>
        </w:rPr>
        <w:t>E. 3.2</w:t>
      </w:r>
    </w:p>
    <w:p>
      <w:r>
        <w:t>Non rientrano tra i contratti stipulati in forma scritta o parificata a quella scritta i riconoscimenti di debito. La loro imposizione, prevista dalla Legge sul bollo del 1966, è infatti volutamente stata soppressa dalla Legge sul bollo del 1986 ( A. Pedroli , L'imposta cantponale di bollo e sugli spettacoli cinematografici, in Aa. Vv., Lezioni di diritto fiscale svizz ero, ed. RDAT, Agno 1999, p. 555; Messaggio del Consiglio di Stato concernente la revisione totale della legge sul bollo del 16 giugno 1966, del 15 gernnaio 1986, n. 3009, cifre 21-22, pp. 28-29).</w:t>
      </w:r>
    </w:p>
    <w:p>
      <w:r>
        <w:rPr>
          <w:b/>
        </w:rPr>
        <w:t>E. 3.3</w:t>
      </w:r>
    </w:p>
    <w:p>
      <w:r>
        <w:t>L'annesso VI del rogito non configura un contratto di mutuo per scrittura privata, ma è, al di là ogni ragionevole dubbio, un semplice riconoscimento di debito, come si evince dal testo in lingua spagnola dello stesso. Tale interpretazione, sia detto di transenna, collima per altro con quella data, quanto meno implicitamente, dal Tribunale federale nella sentenza del 9 gennaio 2002 (cfr. consid. 1a). È appena il caso di notare che la scrittura privata è firmata unicamente dal gerente economico della società. Non debbono trarre in inganno le ulteriori firme, che sono quelle delle parti all'atto notarile e che, come previsto dalla Legge sul notariato, hanno sottoscritto gli allegati del rogito.</w:t>
      </w:r>
    </w:p>
    <w:p>
      <w:r>
        <w:rPr>
          <w:b/>
        </w:rPr>
        <w:t>E. 3.4</w:t>
      </w:r>
    </w:p>
    <w:p>
      <w:r>
        <w:t>Nonostante l'esito del ricorso non si concedono ripetibili in considerazione dei motivi d'accoglimento del ricorso rilevati d'ufficio dal giudice e sostanzialmente diversi da quelli invocati nel ricorso. Per questi motivi, visti per le spese gli art. 144 LIFD e 231 LT dichiara e pronuncia 1.   Il ricorso è accolto . §      Di consguenza la decisione del 7 dicembre 2001 e la bolletta di fr. 150.- da essa protetta sono annullate. 2.   Non si prelevano né tassa di giustizia né spese processuali. 3.   Intimazione alle parti. 4.   Il presente giudizio è definitivo (art. 42 LB; art. 230 cpv. 3 LT). per la Camera di diritto tributario del Tribunale d’appello Il presidente:                                                       Il segretario:</w:t>
      </w:r>
    </w:p>
    <w:p>
      <w:r>
        <w:rPr>
          <w:b/>
        </w:rPr>
        <w:t>E. 4</w:t>
      </w:r>
    </w:p>
    <w:p>
      <w:r>
        <w:t>__________ __________,__________ - __________,</w:t>
      </w:r>
    </w:p>
    <w:p>
      <w:r>
        <w:t>1.,2.,3.,4. avv. __________. __________, __________ __________,</w:t>
      </w:r>
    </w:p>
    <w:p>
      <w:r>
        <w:t>ritenuto</w:t>
      </w:r>
    </w:p>
    <w:p>
      <w:r>
        <w:t>in fatto ed in diritto</w:t>
      </w:r>
    </w:p>
    <w:p>
      <w:r>
        <w:t>per la Camera di diritto tributario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