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80.2001.125 vom 14. September 2001</w:t>
      </w:r>
    </w:p>
    <w:p>
      <w:r>
        <w:t>TI Tribunale d'appello, 2001-09-14, IT</w:t>
      </w:r>
    </w:p>
    <w:p>
      <w:r>
        <w:rPr>
          <w:b/>
        </w:rPr>
        <w:t xml:space="preserve">Quelle: </w:t>
      </w:r>
      <w:r>
        <w:t>https://mcp.opencaselaw.ch/entscheid/ti_gerichte_80.2001.125</w:t>
      </w:r>
    </w:p>
    <w:p>
      <w:r>
        <w:t>FR: TI_GERICHTE 80.2001.125 du 14 septembre 2001</w:t>
      </w:r>
    </w:p>
    <w:p>
      <w:r>
        <w:t>IT: TI_GERICHTE 80.2001.125 del 14 settembre 2001</w:t>
      </w:r>
    </w:p>
    <w:p>
      <w:pPr>
        <w:pStyle w:val="Heading2"/>
      </w:pPr>
      <w:r>
        <w:t>Regeste</w:t>
      </w:r>
    </w:p>
    <w:p>
      <w:r>
        <w:t>Sentenza o decisione senza scheda</w:t>
      </w:r>
    </w:p>
    <w:p>
      <w:pPr>
        <w:pStyle w:val="Heading2"/>
      </w:pPr>
      <w:r>
        <w:t>Volltext</w:t>
      </w:r>
    </w:p>
    <w:p>
      <w:r>
        <w:t>Tessin Camera di diritto tributario 14.09.2001 80.2001.125 Tessin Camera di diritto tributario 14.09.2001 80.2001.125 Ticino Camera di diritto tributario 14.09.2001 80.2001.125</w:t>
      </w:r>
    </w:p>
    <w:p>
      <w:r>
        <w:t>Sentenza o decisione senza scheda</w:t>
      </w:r>
    </w:p>
    <w:p>
      <w:r>
        <w:t>Incarto n. 80.2001.00125 Lugano 14 settembre 2001 In nome della Repubblica e Cantone del Ticino La Camera di diritto tributario del Tribunale d'appello composta dai giudici: Alessandro Soldini, presidente, Stefano Bernasconi, Ivo Eusebio segretario: Fiorenzo Gianinazzi statuendo sul ricorso del 20 agosto 2001 in materia di:                 imposta sugli utili immobiliari presentato da: __________ __________ , __________ __________ , ritenuto in fatto ed in diritto 1. 1.1. __________ e __________ __________ __________ , coniugati dal 1985, sottoscrivevano il 18 maggio 2000 una convenzione matrimoniale di separazione dei beni, sciogliendo così il precedente regime della partecipazione agli acquisti. Alla moglie venivano trasferiti i seguenti immobili di proprietà del marito: · part. n. __________ RFD di __________ · part. n. __________ RFP di __________ , con i relativi oneri ipotecari Quale contropartita, la moglie rinunciava alla divisione della prestazione di libero passaggio del marito. 1.2. L'Ufficio cantonale di stima, al quale l'Ufficio di tassazione di Mendrisio aveva chiesto di stabilire il valore venale degli immobili, attribuiva alla part. n. __________ RFD di __________ un valore di fr. 580'000.- e alla part. n. __________ RFP di __________ un valore di fr. 120'000.-. Il 26 marzo 2000 l'Ufficio di tassazione di __________ notificava a __________ __________ la tassazione sugli utili immobiliari. L'utile immobiliare per l'immobile di __________ veniva stabilito in fr. 405'812.- e imposto con l'aliquota del 4%. A sua volta, l'utile dell'immobile di __________ veniva stabilito in fr. 50'000.- e pure imposto con l'aliquota del 4%. 1.3. Il 24 aprile 2000 __________ __________ , avvalendosi del patrocinio dell'avvocata __________ __________ __________ , presentava reclamo in tempo utile. In occasione dell'udienza del 12 giugno 2001 le parti convenivano di fissare l'utile imponibile relativo al trasferimento dell'immobile di __________ in fr. 10'000.- (imposta dovuta: fr. 400.-); per quello di __________ si conveniva di considerare nel valore d'investimento il prezzo di fr. 350'000.- versato alla ex moglie al momento dell'acquisto della sua quota di un mezzo, di prendere in considerazione costi di miglioria negli ultimi vent'anni per fr. 40'000.-, come pure costi relativi allo scioglimento del regime matrimoniale per fr. 2'685.50 e di determinare quindi il calcolo dell'utile per ciascuna delle quote originarie di comproprietà, tenendo conto dei relativi costi d'investimento. Pertanto l'Ufficio di tassazione, con decisioni su reclamo del 26 luglio 2001 accoglieva parzialmente il reclamo e, meglio, come a verbale d'audizione. 2. Con il presente, tempestivo ricorso __________ __________ chiede l’annullamento delle surriferite decisioni su reclamo, negando in particolare d'aver tratto utili dall'operazione. L’Ufficio di tassazione si astiene dal formulare osservazioni. 3. Si pone anzitutto il problema della rilevanza dell'accordo sottoscritto con l'Ufficio di tassazione dal contribuente medesimo e dalla sua rappresentante. 3.1. Benché la legge tributaria ticinese e il decreto sull'imposta federale diretta non prevedano l'istituto processuale dell'accordo transattivo ( Verständigung ), dottrina e giurisprudenza sono concordi nell'ammetterlo a determinate condizioni (cfr. Blumenstein , in ASA 17, p. 1 ss.; Reimann/Zuppinger/Schärrer , Kommentar zum ZH StG, vol. III,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Zuppinger e altri, op. cit., p. 337). In particolare l'accordo è ammesso nei numerosi casi in cui, data la natura stessa della circostanza di fatto da accertare, non è possibile un accertamento esatto. 3.2. Secondo la dottrina, esso dipende sempre dall'iniziativa dell'autorità fiscale e come tale è da considerare un provvedimento dell'autorità ( behördliche Massnahme ; cfr. Blumenstein , op. cit., p. 7). Proprio per questo aspetto, l'accordo differisce dalla convenzione (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 (fr. Blumenstein ,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 Treu und Glauben ) ( Blumenstein , op. cit., p. 9). 3.3. La dottrina più recente non ritiene che l'accordo si esaurisca in un mero atto procedurale, osservando che nel caso dell'accordo si ha bilateralità. L'accordo è più di una comunicazione unilaterale (decisione),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 3.4. L'efficacia di un'intesa fra autorità fiscale e contribuente poggia dunque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3.4. Esaminando il testo del verbale sottoscritto il 12 giugno 2001 presso l'Ufficio di tassazione di __________ , risulta chiaro l'intendimento delle parti di determinare concordemente i diversi elementi necessari ad accertare l'utile immobiliare, segnatamente i diversi fattori che costituiscono i costi d'investimento. Inutile sottolineare che l'accordo è stato sottoscritto senza riserve di sorta non soltanto dal funzionario dell'Ufficio di tassazione, ma anche dal contribuente medesimo e dalla sua patrocinatrice. Ammettere, in un simile caso, che le parti possano scostarsene a posteriori, sarebbe un venire contra factum proprium , manifestamente incompatibile anche con il principio della buona fede. Sotto questo profilo, la decisione dell'Ufficio di tassazione va pertanto confermata. 3.5. Aperta potrebbe semmai essere rimasta unicamente la questione, squisitamente giuridica, sulle modalità di determinazione dell'utile, quando l'alienante è diventato proprietario dell'immobile in epoche successive mediante acquisto, come in concreto, di due quote di comproprietà. Ma anche su questo punto, per quanto si dirà, il ricorso è chiaramente da respingere. 4. 4.1.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4.3. In una recente sentenza questa Camera ha ammesso l'esistenza di un trasferimento imponibile anche nel caso di un contratto denominato di "cessione", mediante il quale il marito ha trasferito alla moglie alcuni immobili rientranti nella massa degli acquisti, nell'intento di definire e sistemare i loro rapporti patrimoniali, senza nemmeno sciogliere il regime ordinario della partecipazione agli acquisti, dovendosi presumere che il trasferimento costituisse un anticipo dell' estinzione del credito di partecipazione. ( CDT n. __________ . __________ . __________ del 10 maggio 2000 in re D. G.; confermata da STF n. __________ del 29 novembre 2000; Vogt, Commentario basilese, Basilea 1992, ad art. 239 CO, n. 44 e 45 con riferimenti; Hasenböhler , Commentario zurighese, Zurigo 1998, ad art. 168 CC n. 29). 4.4. Va altresì rilevato che l'imposizione degli utili immobiliari si fonda sul principio delle "situazioni comparabili". Valore di investimento e valore di alienazione devono cioè riferirsi allo stesso immobile, dal punto di vista delle dimensioni e del contenuto. Incrementi o diminuzioni della sostanza immobiliare, causati da eventi naturali oppure da prestazioni del proprietario o di altre persone, devono essere presi in considerazione al fine di ottenere delle "situazioni comparabili". Il prezzo di acquisto pagato per un certo immobile può dunque essere contrapposto al prezzo ottenuto con l'alienazione dello stesso fondo, solo se il complesso di cose e diritti di cui è costituito il fondo non ha subito alcuna modificazione durante il possesso, se cioè il complesso esistente al momento della vendita è congruente con quello esistente al momento dell'acquisto (cfr. Soldini/Pedroli , op. cit., ad art. 128, p. 182). Conformemente a questo principio, nel caso di immobili acquistati in epoche diverse e ceduti per un valore globale, il valore di alienazione è ripartito proporzionalmente al valore commerciale dei singoli immobili (art. 136 cpv. 1 LT). La durata della proprietà è stabilita per ogni singolo immobile (art. 136 cpv. 2 LT). Tale principi trovano applicazione anche quando vengono alienate singole quote di comproprietà, poiché esse costituiscono giuridicamente oggetto di proprietà individuale che il proprietario può alienare separatamente (cfr. Soldini/Pedroli , op. cit., ad art. 123, p. 62). Data la natura reale dell'imposta sull'utile immobiliare, sia l'utile sia la durata del possesso, determinante per l'aliquota, devono essere stabiliti separatamente per ognuna delle quote originarie (cfr. Soldini/Pedroli , op. cit., ad art. 136, p. 296, in senso analogo). 5. 5.1. Nella fattispecie, l'Ufficio di tassazione ha constatato che la "convenzione matrimoniale", del 18 maggio 2000, con la quale i coniugi Solcà hanno adottato il regime della separazione dei beni, includeva il trasferimento di due proprietà immobiliari del marito alla moglie e, meglio, di quelle indicate sopra (cfr. cifra 1.1.). Che la convenzione sia stata stesa senza controllare "che i beni immobili già appartenessero a tutti e due i coniugi in un regime normale di coppia", come sostiene il ricorrente, è argomento di nessun pregio per il presente giudizio. "Questa erronea, ma logica buona fede dell'interpretazione del regime matrimoniale", che, sempre secondo il ricorrente sarebbe "nata dal fatto che beni immobili all'estero, __________ , soggiacciono a questo regime", è pure argomento di nessun pregio per il presente giudizio. Esso illustra semmai che vi è verosimilmente stata una certa leggerezza nel valutare le conseguenze fiscali della scelta di sciogliere il regime della partecipazione agli acquisti e di adottare quello della separazione dei beni. Ciò può tutt'al più avere implicazioni d'altra natura, segnatamente sul piano della responsabilità civile di chi ha consigliato, se consiglio vi è stato, questa soluzione fiscalmente improvvida. 5.2. Né il ricorrente può essere seguito laddove sostiene che il trasferimento dei due immobili non avrebbe prodotto utile. È invece vero il contrario, poiché proprio attraverso l'utile immobiliare conseguito trasferendo gli immobili alla moglie, il ricorrente ha potuto estinguere le proprie posizioni debitorie nell'ambito della liquidazione del regime della partecipazione agli acquisti e adottare quello della separazione dei beni riservandosi l'intero avere di libero passaggio del II Pilastro. Diversamente non sarebbe stato possibile liquidare il regime ordinario e adottare quello della separazione dei beni. 5.3. Per quanto concerne poi la determinazione dell'utile, separando, per quanto concerne l'immobile di __________ , le singole quote di comproprietà originarie e tenendo conto del relativo costo d'investimento, come pure della relativa durata della proprietà, l'Ufficio di tassazione ha correttamente applicato il diritto, attenendosi scrupolosamente ai principi enunciati al consid. 4.4. Come risulta dal calcolo allegato alla decisione su reclamo, l'alienazione della quota di comproprietà di più recente acquisto, vale a dire quella acquistata dalla ex moglie al momento del divorzio, non ha prodotto alcun utile. L'utile è invece da imputare alla quota originaria, per la quale a un valore di alienazione di   fr. 290'000.- (metà del valore determinato dall'Ufficio di tassazione) si contrappongono costi d'investimento per complessivi       fr. 111'390.-, conformemente a quanto concordato all'udienza (metà del valore di stima di vent'anni prima, metà delle migliorie degli ultimi vent'anni, metà dei contributi di miglioria e canalizzazione, metà delle spese relative allo scioglimento del regime). Il ricorrente d'altronde non fornisce il benché minimo indizio che possa far ritenere non conforme all'accordo questo calcolo. 6. Per le ragioni che precedono, il ricorso è respinto. Tassa di giustizia e spese processuali sono a carico del ricorrente, soccombente. Per questi motivi, visto per le spese l'art. 231 LT dichiara e pronuncia 1.   I ricorsi sono respinti . 2.   Le spese processuali consistenti: a. nella tassa di giustizia di                                  fr.    500.– b. nelle spese di cancelleria di complessivi       fr.       80.– per un totale di                                                       fr.    580.–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