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80.2001.113 vom 17. Dezember 2001</w:t>
      </w:r>
    </w:p>
    <w:p>
      <w:r>
        <w:t>TI Tribunale d'appello, 2001-12-17, IT</w:t>
      </w:r>
    </w:p>
    <w:p>
      <w:r>
        <w:rPr>
          <w:b/>
        </w:rPr>
        <w:t xml:space="preserve">Quelle: </w:t>
      </w:r>
      <w:r>
        <w:t>https://mcp.opencaselaw.ch/entscheid/ti_gerichte_80.2001.113</w:t>
      </w:r>
    </w:p>
    <w:p>
      <w:r>
        <w:t>FR: TI_GERICHTE 80.2001.113 du 17 décembre 2001</w:t>
      </w:r>
    </w:p>
    <w:p>
      <w:r>
        <w:t>IT: TI_GERICHTE 80.2001.113 del 17 dicembre 2001</w:t>
      </w:r>
    </w:p>
    <w:p>
      <w:pPr>
        <w:pStyle w:val="Heading2"/>
      </w:pPr>
      <w:r>
        <w:t>Regeste</w:t>
      </w:r>
    </w:p>
    <w:p>
      <w:r>
        <w:t>Sentenza o decisione senza scheda</w:t>
      </w:r>
    </w:p>
    <w:p>
      <w:pPr>
        <w:pStyle w:val="Heading2"/>
      </w:pPr>
      <w:r>
        <w:t>Volltext</w:t>
      </w:r>
    </w:p>
    <w:p>
      <w:r>
        <w:t>Tessin Camera di diritto tributario 17.12.2001 80.2001.113 Tessin Camera di diritto tributario 17.12.2001 80.2001.113 Ticino Camera di diritto tributario 17.12.2001 80.2001.113</w:t>
      </w:r>
    </w:p>
    <w:p>
      <w:r>
        <w:t>Sentenza o decisione senza scheda</w:t>
      </w:r>
    </w:p>
    <w:p>
      <w:r>
        <w:t>Incarto n. 80.2001.00113 Lugano 17 dicembre 2001 In nome della Repubblica e Cantone del Ticino Il presidente della Camera di diritto tributario del Tribunale d'appello giudice Alessandro Soldini segretario: Fiorenzo Gianinazzi statuendo sul ricorso del 6 agosto 2001 in materia di:                 IC/IFD 99/00 presentato da: __________ __________ , __________ __________ rappr. da: __________ __________ und __________ , __________ __________ __________ , __________ __________ ____________________ __________ , ritenuto in fatto ed in diritto 1. L'Ufficio di tassazione esponeva nella tassazione IC/IFD 1999-2000 a __________ __________ M __________ ll, domiciliato a __________ in __________ , un valore locativo per la propria abitazione secondaria di __________ di fr. 32'400.- di media annua (cfr. notifica della tassazione del 21 febbraio 2000). Il reclamo presentato dal contribuente veniva respinto con decisione su reclamo del 9 luglio 2001, rilevando che non era stata fornita la prova dell'inabitabilità, nemmeno parziale, dell'appartamento nel corso degli anni di computo 1997-98. 2. Con il presente, tempestivo ricorso __________ __________ , moglie del contribuente, deceduto nel frattempo e, meglio, il 18 aprile 2001, chiede la riduzione del valore locativo, ribadendo che l'uso dell'appartamento sarebbe stato ampiamente pregiudicato durante tutto il periodo di computo per un sinistro (infiltrazioni d'acqua) accaduto alla fine del 1996. 3. All'udienza del 6 novembre 2001 il giudice ha proposto alle parti di stabilire il valore locativo nella misura del 7.25% del valore di stima e, meglio, in fr. 28'600.-, attribuendo nel contempo al patrocinatore della ricorrente un congruo termine per comunicare la propria adesione al ricorso, rispettivamente per provare che si sarebbero prodotti nuovi danni dopo il 30 aprile 1998, data in cui l'allora patrocinatrice dei ricorrenti aveva sottoscritto un accordo con il fisco sul valore locativo. 4. 4.1. Giusta l'art. 20 cpv. 1 lett. b LT e 21 cpv. 1 lett. b LIFD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 4.2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4.3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4.4. Per ragioni di praticità e di praticabilità del diritto, il valore locativo di abitazioni unifamiliari verrà stabilito, di massima, come accennato sopra, applicando al valore di stima ufficiale dell'immobile dei tassi prestabiliti, che variano a seconda della vetustà della stima. Tale modo di procedere non è, in linea di principio, contrario al principio dell'uguaglianza di trattamento ( CDT n. 424 dell'11 novembre 1986 in re M.B.; CDT n. 498 del 12 dicembre 1986 in re C.S.), anzi, in molti casi, contribuisce a meglio salvaguardarla. 4.5. Un'eccezione all'imposizione del valore locativo può essere concessa solo per locali oggettivamente inutilizzabili, o che rimangono vuoti per l'impossibilità di trovare inquilini a causa di importanti svantaggi oggettivi dell'abitazione ( Aa.Vv. , Kommentar zum Aargauer Steuergesetz, § 22 N 433 e 434, pag. 280). In altre parole, solo impedimenti di natura oggettiva, ed inerenti all'immobile, possono, se del caso, giustificare l'esenzione del valore locativo ( CDT n. 4 dell' 11 febbraio 1992 in re L.P.; CDT n. 177/93 del 27 agosto 1993 in re H. B.). 4.6. Orbene, nel caso di specie, la ricorrente fa valere l'impossibilità di usare l'appartamento a seguito di infiltrazioni d'acqua. A più riprese, il giudice ha chiesto di documentare quando nel corso del periodo di computo (anni civili 1997-98) e, meglio, in quale data dopo il 30 aprile 1998 si è verificato il sinistro e quali sono stati gli interventi necessari per eliminarne le conseguenze, In effetti, la ricorrente, per il tramite della sua patrocinatrice, aveva acconsentito in data 30 aprile 1998 a ripristinare, dopo una drastica riduzione durante tre anni (dal 1994 al 1996), il valore locativo di fr. 32'400.- di media annua. In questa sede __________ __________ non ha saputo rendere verosimili le circostanze accampate nel ricorso. Le fotografie contenute nell'incarto non consentono di risalire alla data di quel sinistro, se quello che aveva dato luogo alla riduzione triennale o se uno successivo. La Direzione __________ __________ , incaricata dall'attuale patrocinatore della ricorrente, di pronunciarsi sulla situazione ha prodotto alcune fotografie da cui risultano ancora alcuni scrostamenti del soffitto, apparentemente di poco conto, affermando inoltre che le fotografie già prodotte all'Ufficio di tassazione sarebbero del giugno del 1998. In queste condizioni, solo la produzione delle fatture relative alle opere di risanamento e la denuncia del sinistro all'assicurazione avrebbero consentito di fugare ogni dubbio. Orbene, la ricorrente ha saputo produrre soltanto la dichiarazione di sinistro alla __________ __________ del 20 luglio 1998, in cui gli interventi previsti (pulizia degli scarichi, ritinteggio), venivano quantificati in ca. fr. 800/1'000.-. In simili condizioni, non appare certo provato che nella tarda primavera o nella prima estate del 1998 si sia verificato un sinistro di una portata tale da rendere inagibile l'intero appartamento e idonea quindi ad azzerare il valore locativo per alcuni mesi nel corso del periodo di computo. In linea di principio, non si giustifica quindi di dipartirsi da quanto concordato nel verbale del 30 aprile 1998. 4.7. Va ricordato, in questo contesto, che, benché la legge tributaria ticinese e la legge sull'imposta federale diretta non prevedano l'istituto processuale dell'accordo transattivo ( Verständigung ), dottrina e giurisprudenza sono concordi nell'ammetterlo a determinate condizioni (cfr. Blumenstein , in ASA 17, p. 1 ss.; Reimann/Zuppinger/Schärrer , Kommentar zum ZH StG, vol. III,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Zuppinger e altri, op. cit., p. 337). In particolare l'accordo è ammesso nei numerosi casi in cui, data la natura stessa della circostanza di fatto da accertare, non è possibile un accertamento esatto.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 Treu und Glauben ) ( Blumenstein , op. cit., p. 9). La dottrina più recente non ritiene che l'accordo si esaurisca in un mero atto procedurale, osservando che nel caso dell'accordo si ha bilateralità. L'accordo è più di una comunicazione unilaterale (decisione),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L'efficacia di un'intesa fra autorità fiscale e contribuente poggia dunque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4.8. Se, come si è detto, non si giustifica, in linea di principio, di scostarsi dall'accordo del 30 aprile 1998, occorre nondimeno tener conto del secondo sinistro, quello del giugno/luglio 1998. Appare quindi opportuno, per ragioni di economia processuale, ridurre il valore locativo nei termini proposti dal giudice all'udienza e, meglio, a fr. 28'600.-, vale a dire nella misura del 7.25% del valore di stima. Per questi motivi, visti per le spese gli art. 144 LIFD e 231 LT dichiara e pronuncia 1.   Il ricorso è parzialmente accolto . §      Di conseguenza la decisione su reclamo del 9 luglio 2001 è riformata nel senso che il valore locativo viene stabilito in fr. 28'600.- di media annua e la deduzione per spese di manutenzione in fr. 7'150.-. §§    Gli atti del procedimento sono retrocessi all'Ufficio di tassazione per l'emanazione di nuovi conteggi. 2.   Le spese processuali consistenti: a. nella tassa di giustizia di                                  fr.    400.– b. nelle spese di cancelleria di complessivi       fr.       80.– per un totale di                                                       fr.   480 .– sono a carico de lla ricorrent e in ragione di due terzi (fr. 320.-).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