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80.2000.153 vom 19. September 2000</w:t>
      </w:r>
    </w:p>
    <w:p>
      <w:r>
        <w:t>TI Tribunale d'appello, 2000-09-19, IT</w:t>
      </w:r>
    </w:p>
    <w:p>
      <w:r>
        <w:rPr>
          <w:b/>
        </w:rPr>
        <w:t xml:space="preserve">Quelle: </w:t>
      </w:r>
      <w:r>
        <w:t>https://mcp.opencaselaw.ch/entscheid/ti_gerichte_80.2000.153</w:t>
      </w:r>
    </w:p>
    <w:p>
      <w:r>
        <w:t>FR: TI_GERICHTE 80.2000.153 du 19 septembre 2000</w:t>
      </w:r>
    </w:p>
    <w:p>
      <w:r>
        <w:t>IT: TI_GERICHTE 80.2000.153 del 19 settembre 2000</w:t>
      </w:r>
    </w:p>
    <w:p>
      <w:pPr>
        <w:pStyle w:val="Heading2"/>
      </w:pPr>
      <w:r>
        <w:t>Volltext</w:t>
      </w:r>
    </w:p>
    <w:p>
      <w:r>
        <w:t>Incarto n.80.2000.00153</w:t>
      </w:r>
    </w:p>
    <w:p>
      <w:r>
        <w:t>Lugano</w:t>
      </w:r>
    </w:p>
    <w:p>
      <w:r>
        <w:t>19 settembre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31 agosto 2000</w:t>
      </w:r>
    </w:p>
    <w:p>
      <w:r>
        <w:t>in materia di:                 IC/IFD 95/96, 97/98, 99/00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 l'11 settembre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