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80.1997.6 vom 20. Februar 1997</w:t>
      </w:r>
    </w:p>
    <w:p>
      <w:r>
        <w:t>TI Tribunale d'appello, 1997-02-20, IT</w:t>
      </w:r>
    </w:p>
    <w:p>
      <w:r>
        <w:rPr>
          <w:b/>
        </w:rPr>
        <w:t xml:space="preserve">Quelle: </w:t>
      </w:r>
      <w:r>
        <w:t>https://mcp.opencaselaw.ch/entscheid/ti_gerichte_80.1997.6</w:t>
      </w:r>
    </w:p>
    <w:p>
      <w:r>
        <w:t>FR: TI_GERICHTE 80.1997.6 du 20 février 1997</w:t>
      </w:r>
    </w:p>
    <w:p>
      <w:r>
        <w:t>IT: TI_GERICHTE 80.1997.6 del 20 febbraio 1997</w:t>
      </w:r>
    </w:p>
    <w:p>
      <w:pPr>
        <w:pStyle w:val="Heading2"/>
      </w:pPr>
      <w:r>
        <w:t>Regeste</w:t>
      </w:r>
    </w:p>
    <w:p>
      <w:r>
        <w:t>Sentenza o decisione senza scheda</w:t>
      </w:r>
    </w:p>
    <w:p>
      <w:pPr>
        <w:pStyle w:val="Heading2"/>
      </w:pPr>
      <w:r>
        <w:t>Volltext</w:t>
      </w:r>
    </w:p>
    <w:p>
      <w:r>
        <w:t>Tessin Camera di diritto tributario 20.02.1997 80.1997.6 Tessin Camera di diritto tributario 20.02.1997 80.1997.6 Ticino Camera di diritto tributario 20.02.1997 80.1997.6</w:t>
      </w:r>
    </w:p>
    <w:p>
      <w:r>
        <w:t>Sentenza o decisione senza scheda</w:t>
      </w:r>
    </w:p>
    <w:p>
      <w:r>
        <w:t>Incarto n. 80.97.00006 Lugano 20 febbraio 1997 In nome della Repubblica e Cantone del Ticino La Camera di diritto tributario del Tribunale d'appello composta dai giudici: Alessandro Soldini, presidente, Stefano Bernasconi, Lorenzo Anastasi segretario: Fiorenzo Gianinazzi statuendo sul ricorso del 7 gennaio 1997 in materia di:                 IC/IFD 93/94 presentato da: __________, __________, ritenuto in fatto ed in diritto 1. Il 24 luglio 1995 l' Ufficio di tassazione di Lugano-Campagna notificava a __________ e __________ la tassazione IC/IFD 1993-94, in cui stabiliva in via valutativa il reddito del lavoro in fr. 120'000.-- di media annua. Assistito dall' avvocato __________, __________ presentava reclamo contestando il reddito del lavoro espostogli in via valutativa dall’Ufficio di tassazione. Nel corso di un incontro svoltosi il 13 novembre 1996 l'avvocato __________ per conto del suo assistito, dopo aver presentato la documentazione necessaria per allestire correttamente la tassazione e aver pure fatto presente la particolare situazione finanziaria del contribuente, raggiungeva l' accordo in base al quale l' Ufficio di tassazione notificava ai coniugi __________ il 9 dicembre 1996 la decisione su reclamo IC/IFD 1993-94. 2. Con il presente, tempestivo ricorso __________ contesta la decisione su reclamo in materia di IC/IFD 1993-94, asserendo di non aver incassato il salario riconosciutogli dalla __________ SA e di aver insinuato il relativo credito nel fallimento della società e contestando integralmente le pretese che quest'ultima avrebbe fatto valere nei suoi confronti. 3. Come accennato in narrativa, in data 13 novembre 1996 il rappresentante del contribuente è stato sentito dall’ Ufficio di tassazione. Al termine dell’audizione, esaminata la documentazione prodotta e tenuto conto delle osservazioni del contribuente esposte dal suo patrocinatore, si è testualmente convenuto quanto segue: Il reddito imponibile per l'imposta cantonale viene fissato in fr. 19'478.-- annui con l'aliquota maggiorata per il reddito estero pari a un reddito complessivo di fr. 46'015.-- annui. Il reddito imponibile per l'imposta federale diretta viene fissato in fr. 24'558.-- annui con l'aliquota maggiorata per il reddito estero pari a un reddito complessivo di fr. 53'415.--. La sostanza imponibile al 1.1.1993 è esente. Il presente verbale vale quale motivazione per la decisione su reclamo. Il verbale veniva sottoscritto seduta stante dal patrocinatore del contribuente. 3.1 Si pone pertanto il problema della rilevanza dell'accordo transattivo sottoscritto dal contribuente. A tale proposito, esiste una copiosa giurisprudenza di questa Camera, che, fondandosi sulla natura della transazione che interviene fra fisco e contribuente, ha escluso che il contribuente possa recedere dall'accordo, quando lo stesso sia validamente costituito (cfr. p. es.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 4.2 Benché la legge tributaria ticinese e il decreto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Zuppinger e altri, op. cit., p. 337). In particolare l'accordo è ammesso nei numerosi casi in cui, data la natura stessa della circostanza di fatto da accertare, non è possibile un accertamento esatto. 3.3 Secondo la dottrina risalente, esso dipende sempre dall'iniziativa dell'autorità fiscale e come tale è da considerare un provvedimento dell'autorità ( behördliche Massnahme ; cfr. Blumenstein ,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 Treu und Glauben ) ( Blumenstein , op. cit., p. 9). 3.4 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 3.5 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(cfr. CDT n. 98 del 3 maggio 1993 in re T.; CDT n. 79-81 del 3 maggio 1993 in re K.). 4. Esaminando il testo della transazione sottoscritta il 13 novembre 1996 presso l' Ufficio di tassazione di __________, se ne trae la conclusione che esso non può non ritenersi vincolante nella misura in cui vi si definisce non soltanto l'entità del reddito del lavoro, ma anche l'esatto ammontare dell'importo imponibile sia per l'IC sia per l'IFD come pure del reddito estero valido unicamente per l'aliquota ( Il reddito imponibile per l'imposta cantonale viene fissato in fr. 19'478.-- annui con l'aliquota maggiorata per il reddito estero pari a un reddito complessivo di fr. 46'015.-- annui. Il reddito imponibile per l'imposta federale diretta viene fissato in fr. 24'558.-- annui con l'aliquota maggiorata per il reddito estero pari a un reddito complessivo di fr. 53'415.-- ). Detto accordo risulta per altro essere il frutto di una approfondita discussione, in cui sono stati valutati i diversi aspetti controversi, segnatamente il reddito del lavoro e la precaria situazione finanziaria. Non può più quindi essere ammesso che attraverso il presente ricorso il ricorrente rimetta in discussione quanto concordato dal patrocinatore del qui ricorrente con l’ Ufficio di tassazione. Diversamente si disattenderebbero sia la natura dell’accordo transattivo sia il principio della buona fede processuale che la sottende. Ciò ha da valere a maggior ragione se si considera che il ricorrente non solleva argomenti sostanzialmente nuovi, che non siano già stati considerati e valutati in occasione della definizione concordata del reddito del lavoro. 5. Questa Camera vuole comunque ricordare al ricorrente che l'art. 246 cpv. 1 LT consente al contribuente caduto nel bisogno, per il quale il pagamento dell'imposta, dell'interesse o della multa per contravvenzioni tornerebbe oltremodo gravoso, di chiedere il condono integrale o parziale degli importi dovuti.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