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80.1997.121 vom 14. April 1998</w:t>
      </w:r>
    </w:p>
    <w:p>
      <w:r>
        <w:t>TI Tribunale d'appello, 1998-04-14, IT</w:t>
      </w:r>
    </w:p>
    <w:p>
      <w:r>
        <w:rPr>
          <w:b/>
        </w:rPr>
        <w:t xml:space="preserve">Quelle: </w:t>
      </w:r>
      <w:r>
        <w:t>https://mcp.opencaselaw.ch/entscheid/ti_gerichte_80.1997.121</w:t>
      </w:r>
    </w:p>
    <w:p>
      <w:r>
        <w:t>FR: TI_GERICHTE 80.1997.121 du 14 avril 1998</w:t>
      </w:r>
    </w:p>
    <w:p>
      <w:r>
        <w:t>IT: TI_GERICHTE 80.1997.121 del 14 aprile 1998</w:t>
      </w:r>
    </w:p>
    <w:p>
      <w:pPr>
        <w:pStyle w:val="Heading2"/>
      </w:pPr>
      <w:r>
        <w:t>Regeste</w:t>
      </w:r>
    </w:p>
    <w:p>
      <w:r>
        <w:t>Sentenza o decisione senza scheda</w:t>
      </w:r>
    </w:p>
    <w:p>
      <w:pPr>
        <w:pStyle w:val="Heading2"/>
      </w:pPr>
      <w:r>
        <w:t>Erwägungen</w:t>
      </w:r>
    </w:p>
    <w:p>
      <w:r>
        <w:rPr>
          <w:b/>
        </w:rPr>
        <w:t>E. 6.1</w:t>
      </w:r>
    </w:p>
    <w:p>
      <w:r>
        <w:t>Il ricorrente afferma di aver ricevuto un salario di soli fr. 60'000.- annui e contesta quindi la sua rivalutazione a fr. 88'000.- di media annua. La censura non può essere accolta. Il ricorrente dimentica infatti che l'UTPG ha constatato che il salario allibrato nei conti della __________ __________ era di fr. 80'000.- nel 1993 e di fr. 96'000.- nel 1994 e non di soli fr. 60'000.- all'anno, come sostenuto dal ricorrente. Che poi il ricorrente, che ha firmato il proprio certificato di salario, non abbia effettivamente prelevato il salario allibrato, non è di rilievo. Il sostanziale aumento del conto del correntista della __________ __________ conferma, quanto meno implicitamente, che la pretesa salariale per il salario non prelevato è stata novata e quindi trasformata in credito. Questa Camera ha infatti già avuto modo di riconoscere, che la rinuncia a percepire il salario da parte del dipendente-azionista, acconsentendo che vada ad aumentare il credito del correntista, con l'approvazione del saldo fine anno o quanto meno in occasione dell'assemblea generale, produce giuridicamente una novazione della pretesa (cfr. art. 117 cpv. 2 CO; Bucher , Schweizerisches Obligationenrecht, 2.a ed., p. 413; Gauch/Schlüp , Schweizerisches Obligationenrecht, II, 4.a ed. p. 176 s.). L'asserita pretesa salariale si è così trasformata (novazione) in prestito alla società datrice di lavoro da parte del dipendente-azionista. Non è quindi più il salario ad essere diventato inesigibile, bensì il prestito. In altre parole, la situazione non sarebbe diversa da quella considerata dall'UT e, meglio, come se il salario fosse stato percepito e in pari tempo sia stato concesso in prestito per pari importo ( CDT n 79 del 22 aprile 1992  in re G. A).</w:t>
      </w:r>
    </w:p>
    <w:p>
      <w:r>
        <w:rPr>
          <w:b/>
        </w:rPr>
        <w:t>E. 6.2</w:t>
      </w:r>
    </w:p>
    <w:p>
      <w:r>
        <w:t>Il calcolo del dispendio denota nel periodo di computo una mancanza di liquidità di fr. 88'000.- (cfr. verbale d'audizione del 27 maggio 1997 e ricostruzione Ufficio di tassazione, doc. 45), senza considerare il fabbisogno per vivere di una famiglia di tre persone, che denota, da quanto si evince dai dati dell'incarto, un certo qual tenore di vita. Basti considerare che, ancora nel 1996, il ricorrente ha immatricolato un'automobile del valore di fr. 100'000.-. L'UT, aggiungendo per il fabbisogno del contribuente e della sua famiglia, un importo di fr. 25'000.- di media annua, si situa addirittura ai limiti del minimo d'esistenza del diritto esecutivo. Esso va quindi congruamente aumentato.</w:t>
      </w:r>
    </w:p>
    <w:p>
      <w:r>
        <w:rPr>
          <w:b/>
        </w:rPr>
        <w:t>E. 6.3</w:t>
      </w:r>
    </w:p>
    <w:p>
      <w:r>
        <w:t>Vero è che con il ricorso il ricorrente ha documentato d'aver ricevuto una quotaparte nella successione della madre ammontante a poco più di fr. 22'000.-, che consentirebbe di ridurre il reddito d'altra fonte di fr. 11'000.- di media annua. Tale importo è tuttavia appena sufficiente per compensare la commisurazione del fabbisogno familiare effettuata dall'UT, che, come si è visto, è inadeguata al tenore di vita del ricorrente e della sua famiglia.</w:t>
      </w:r>
    </w:p>
    <w:p>
      <w:r>
        <w:rPr>
          <w:b/>
        </w:rPr>
        <w:t>E. 6.4</w:t>
      </w:r>
    </w:p>
    <w:p>
      <w:r>
        <w:t>Non si può invece tener conto, come rilevato nelle osservazioni dell' Amministrazione federale delle contribuzioni e della Divisione cantonale delle contribuzioni, delle asserite donazioni di fr. 8'500.- e di fr. 20'000.- che la moglie del contribuente avrebbe ricevuto da suo padre. La dichiarazione sottoscritta dal signor Weder il 20 agosto 1997, oltre a utilizzare il termine donazione con cautela, inserendolo tra virgolette, risulta postdatata di alcuni anni. Senza il supporto di ulteriori documenti che la comprovino, ad es. il loro assoggettamento all'imposta di donazione, esse non possono essere prese in considerazione.</w:t>
      </w:r>
    </w:p>
    <w:p>
      <w:r>
        <w:rPr>
          <w:b/>
        </w:rPr>
        <w:t>E. 6.5</w:t>
      </w:r>
    </w:p>
    <w:p>
      <w:r>
        <w:t>È infine appena il caso di rilevare che il calcolo del dispendio contenuto nella motivazione del ricorso non può essere seguito. In esso vengono tra l'altro dimenticate alcune delle spese per le quali il ricorrente chiede la deduzione nella dichiarazione d'imposta. Questa Camera non può quindi che confermare la decisione su reclamo dell'UT, con parziale sostituzione dei motivi e, meglio, nel senso che la quotaparte avuta nella successione della madre è ampiamente compensata dalla sottovalutazione del fabbisogno per vivere del contribuente e della sua famiglia nel periodo di computo. Per questi motivi, visti per le spese gli art. 144 LIFD e 231 LT 1994 dichiara e pronuncia 1.   Il ricorso è respinto . 2.   Le spese processuali consistenti: a. nella tassa di giustizia di                                  fr.    600.– b. nelle spese di cancelleria di complessivi       fr.       80.– per un totale di                                                       fr.    680.–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