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80.1995.20 vom 3. September 1997</w:t>
      </w:r>
    </w:p>
    <w:p>
      <w:r>
        <w:t>TI Tribunale d'appello, 1997-09-03, IT</w:t>
      </w:r>
    </w:p>
    <w:p>
      <w:r>
        <w:rPr>
          <w:b/>
        </w:rPr>
        <w:t xml:space="preserve">Quelle: </w:t>
      </w:r>
      <w:r>
        <w:t>https://mcp.opencaselaw.ch/entscheid/ti_gerichte_80.1995.20</w:t>
      </w:r>
    </w:p>
    <w:p>
      <w:r>
        <w:t>FR: TI_GERICHTE 80.1995.20 du 3 septembre 1997</w:t>
      </w:r>
    </w:p>
    <w:p>
      <w:r>
        <w:t>IT: TI_GERICHTE 80.1995.20 del 3 settembre 1997</w:t>
      </w:r>
    </w:p>
    <w:p>
      <w:pPr>
        <w:pStyle w:val="Heading2"/>
      </w:pPr>
      <w:r>
        <w:t>Regeste</w:t>
      </w:r>
    </w:p>
    <w:p>
      <w:r>
        <w:t>Sentenza o decisione senza scheda</w:t>
      </w:r>
    </w:p>
    <w:p>
      <w:pPr>
        <w:pStyle w:val="Heading2"/>
      </w:pPr>
      <w:r>
        <w:t>Erwägungen</w:t>
      </w:r>
    </w:p>
    <w:p>
      <w:r>
        <w:rPr>
          <w:b/>
        </w:rPr>
        <w:t>E. 3</w:t>
      </w:r>
    </w:p>
    <w:p>
      <w:r>
        <w:t>settembre 1997 In nome della Repubblica e Cantone del Ticino La Camera di diritto tributario del Tribunale d'appello composta dai giudici: Alessandro Soldini, presidente, Stefano Bernasconi, Lorenzo Anastasi Il segretario: Fiorenzo Gianinazzi statuendo sul ricorso del 8 febbraio 1995 in materia di:                 IC/IFD 89/90 (IC/IFD 17/95) presentato da: __________ __________ , , rappr. da: __________ . __________ . __________ , __________ __________ , ritenuto in fatto ed in diritto 1. __________ __________ , nato nel 1964, cittadino tedesco, domiciliato in Germania, è limitatamente assoggettato alla sovranità fiscale federale e cantonale in quanto proprietario di sostanza immobiliare in Ticino e, meglio: di una quota del 40% dell'immobile __________ __________ di __________ e di una quota del 50% __________ __________ di __________ , della __________ ex __________ e della __________ al __________ , per un valore di stima corrispondente a fr. 6'138'544.--. Al 1° gennaio 1989 il contribuente era pure proprietario di sostanza immobiliare in Germania per un valore unitario ( Einheitswert ) complessivo di DM 4'922'350.--, di sostanza agricola per un valore di DM 184'000.--, oltre che di titoli, di partecipazioni, di sostanza aziendale e di valori di riscatto assicurativi. I debiti in Svizzera ammontavano a fr. 10'657'478.-- e in Germania a DM 26'159'833.--; gli interessi passivi pagati in Svizzera si cifravano in fr. 300'533.-- di media annua e in Germania in DM 1'245'036.-- di media annua. 2. Nella notifica di tassazione 1989-90, del 13 dicembre 1993, l'Ufficio di tassazione di Locarno determinava la quota parte dei debiti da attribuire alla Germania nella misura del 77,36% e alla Svizzera nella misura del 22,64%, ammettendo quindi in misura corrispondente la deduzione dei debiti dai redditi di pertinenza svizzera e, meglio, per fr. 300'533.--. Assistito __________ . __________ , __________ __________ presentava reclamo in tempo utile, contestando la ripartizione dei debiti deducibili in Svizzera e dei relativi interessi. In particolare rilevava che i valori immobiliari svizzeri non erano stati valutati al valore IFD (1,3 volte il valore di stima cantonale), che era stata considerata unicamente la sostanza aziendale tedesca e non quella svizzera e che di fatto la rivalutazione degli Einheitswerte tedeschi effettuata dall’Ufficio di tassazione era di ben 6,71 volte, di contro alle 5 previste dall’Amministrazione federale delle contribuzioni. Dopo aver sentito il rappresentante del contribuente, l'Ufficio di tassazione di Locarno, con decisione su reclamo del 16 gennaio 1995, respingeva il reclamo, rilevando che gli interessi passivi andavano dedotti secondo la loro localizzazione. Negava per contro espressamente la loro ripartizione proporzionale in base agli attivi lordi. Tale soluzione sarebbe consentita dalla Convenzione di doppia imposizione tra la Svizzera e la Germania, che non prevederebbe alcuna norma al riguardo. L'art.</w:t>
      </w:r>
    </w:p>
    <w:p>
      <w:r>
        <w:rPr>
          <w:b/>
        </w:rPr>
        <w:t>E. 8</w:t>
      </w:r>
    </w:p>
    <w:p>
      <w:r>
        <w:t>In simili condizioni, la decisione su reclamo del 16 gennaio 1995 va annullata in ordine e gli atti devono essere retrocessi all’UT perché allestisca un nuovo riparto, conformemente ai considerandi del presente giudizio e, meglio, riassuntivamente: -     rivalutazione della sostanza germanica esposto in Einheitswerte per il fattore cinque; -     ripartizione dei debiti, risp. degli interessi in misura proporzionale alla localizzazione della sostanza immobiliare. Per questi motivi, visti per le spese gli art. 144 LIFD e 231 LT 1994 dichiara e pronuncia 1.   Il ricorso è accolto a’sensi dei considerandi. §      Gli atti del procedimento sono pertanto retrocessi all’autorità di tassazione per l’emissione di nuovi conteggi. 2   Non si prelevano né spese né tassa di giustizia. L’autorità fiscale rifonderà al ricorrente un importo di fr. 1'000.—a titolo di spese e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