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72.2016.154 vom 20. März 2017</w:t>
      </w:r>
    </w:p>
    <w:p>
      <w:r>
        <w:t>TI Tribunale d'appello, 2017-03-20, IT</w:t>
      </w:r>
    </w:p>
    <w:p>
      <w:r>
        <w:rPr>
          <w:b/>
        </w:rPr>
        <w:t xml:space="preserve">Quelle: </w:t>
      </w:r>
      <w:r>
        <w:t>https://mcp.opencaselaw.ch/entscheid/ti_gerichte_72.2016.154</w:t>
      </w:r>
    </w:p>
    <w:p>
      <w:r>
        <w:t>FR: TI_GERICHTE 72.2016.154 du 20 mars 2017</w:t>
      </w:r>
    </w:p>
    <w:p>
      <w:r>
        <w:t>IT: TI_GERICHTE 72.2016.154 del 20 marzo 2017</w:t>
      </w:r>
    </w:p>
    <w:p>
      <w:pPr>
        <w:pStyle w:val="Heading2"/>
      </w:pPr>
      <w:r>
        <w:t>Erwägungen</w:t>
      </w:r>
    </w:p>
    <w:p>
      <w:r>
        <w:rPr>
          <w:b/>
        </w:rPr>
        <w:t>E. 20</w:t>
      </w:r>
    </w:p>
    <w:p>
      <w:r>
        <w:t>Dal punto di vista soggettivo, IM 1 ha dichiarato di essersi reso conto di avere commesso la grave infrazione a lui ascritta, senza peraltro giustificare tale suo agire. In particolare, non giungono in soccorso dell’imputato le giustificazioni da lui addotte, quali il fatto di aver agito inconsciamente, di non aver avuto fretta, di non essersi reso conto della velocità a cui circolava o, ancora, che il veicolo che stava conducendo era automatico e silenzioso. Al proposito si osserva che ogni automobilista deve essere attento al limite di velocità imposto e consapevole della velocità a cui sta circolando (cfr. art. 27, 31 e 32 LCStr). Pure le argomentazioni difensive invocanti la DTF 142 IV 137 ss. e la sentenza della Corte delle assise correzionali del 6 febbraio 2017, così come pure la sentenza zurighese prodotta quale doc. dib. 3, risultano essere in concreto irrilevanti. In particolare, la prima sentenza menzionata riguarda una fattispecie del tutto differente da quella in oggetto, mentre quella datata 7 febbraio 2017 della Corte delle assise correzionali di Lugano – pure relativa a fatti del tutto diversi – è ancora sub iudice presso la Corte di appello e di revisione penale, visto il ricorso interposto dalla pubblica accusa. In fine, la sentenza zurighese, prodotta unicamente nella forma di un articolo giornalistico, attesta di una condanna a 20 mesi di detenzione, ovvero nulla che in concreto possa venire in soccorso dell’imputato. Analogamente, gli interventi parlamentari tendenti a modificare le norme entrate in vigore a seguito dell’adozione del “ pacchetto ” Via Sicura, non comportano alcuna conseguenza ai fini del giudizio, posto che attualmente le norme applicabili a casi quali quello in oggetto sono gli art. 90 cpv. 3 e 4 LCStr.</w:t>
      </w:r>
    </w:p>
    <w:p>
      <w:r>
        <w:rPr>
          <w:b/>
        </w:rPr>
        <w:t>E. 21</w:t>
      </w:r>
    </w:p>
    <w:p>
      <w:r>
        <w:t>Ritenuto che in concreto risulta realizzato pure l’elemento soggettivo, l’imputazione di cui all’atto d’accusa è stata confermata. V.   Commisurazione della pena</w:t>
      </w:r>
    </w:p>
    <w:p>
      <w:r>
        <w:rPr>
          <w:b/>
        </w:rPr>
        <w:t>E. 22</w:t>
      </w:r>
    </w:p>
    <w:p>
      <w:r>
        <w:t>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w:t>
      </w:r>
    </w:p>
    <w:p>
      <w:r>
        <w:rPr>
          <w:b/>
        </w:rPr>
        <w:t>E. 23</w:t>
      </w:r>
    </w:p>
    <w:p>
      <w:r>
        <w:t>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w:t>
      </w:r>
    </w:p>
    <w:p>
      <w:r>
        <w:rPr>
          <w:b/>
        </w:rPr>
        <w:t>E. 24</w:t>
      </w:r>
    </w:p>
    <w:p>
      <w:r>
        <w:t>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w:t>
      </w:r>
    </w:p>
    <w:p>
      <w:r>
        <w:rPr>
          <w:b/>
        </w:rPr>
        <w:t>E. 25</w:t>
      </w:r>
    </w:p>
    <w:p>
      <w:r>
        <w:t>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w:t>
      </w:r>
    </w:p>
    <w:p>
      <w:r>
        <w:rPr>
          <w:b/>
        </w:rPr>
        <w:t>E. 26</w:t>
      </w:r>
    </w:p>
    <w:p>
      <w:r>
        <w:t>Nel caso concreto, l’infrazione alle norme della circolazione stradale commessa dall’imputato è oggettivamente e soggettivamente grave. Dal profilo oggettivo, il limite di velocità è stato superato in modo assai importante. Non va poi scordato che su quel tratto di strada il limite di velocità era ridotto in ragione della presenza di un cantiere (circostanza di cui l’imputato era perfettamente cognito), ciò che ha reso il superamento del limite particolarmente pericoloso per gli operai o veicoli da cantiere che potevano trovarsi sulla carreggiata. D’altra parte, occorre considerare che il manto stradale era asciutto e vi erano buone condizioni di visibilità. Per quanto concerne invece l’aspetto soggettivo, l’imputato ha agito intenzionalmente, senza alcuna valida ragione per commettere una così importante violazione dei limiti di velocità. A favore dell’imputato la Corte ha considerato il fatto che attraverso le immediate scuse, IM 1 ha dimostrato di volersi assumere le proprie responsabilità; analogamente è stato ritenuto positivo il fatto che IM 1 si è già rivolto ad uno psicologo del traffico ed è intenzionato a seguire un percorso terapeutico. Quanto all’incensuratezza, si tratta di un elemento che il Tribunale federale ha definito “ neutro ” per la commisurazione della pena. Nella fissazione della pena la Corte è tenuta al minimo legale previsto dall’art. 90 cpv. 3 LCStr, ovvero una pena detentiva di almeno un anno. Alla luce di quanto precede, la Corte ha considerato adeguata alla colpa di IM 1 una pena detentiva di 13 (tredici) mesi, da porre al beneficio della sospensione condizionale con periodo di prova di 2 (due) anni. VI.   Sequestri</w:t>
      </w:r>
    </w:p>
    <w:p>
      <w:r>
        <w:rPr>
          <w:b/>
        </w:rPr>
        <w:t>E. 27</w:t>
      </w:r>
    </w:p>
    <w:p>
      <w:r>
        <w:t>Sulla somma di denaro sotto sequestro è stato mantenuto il sequestro conservativo a parziale copertura di tassa di giustizia e spese procedurali ai sensi dell’art. 268 CPP. VII.   Retribuzione del difensore d’ufficio</w:t>
      </w:r>
    </w:p>
    <w:p>
      <w:r>
        <w:rPr>
          <w:b/>
        </w:rPr>
        <w:t>E. 28</w:t>
      </w:r>
    </w:p>
    <w:p>
      <w:r>
        <w:t>.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w:t>
      </w:r>
    </w:p>
    <w:p>
      <w:r>
        <w:rPr>
          <w:b/>
        </w:rPr>
        <w:t>E. 29</w:t>
      </w:r>
    </w:p>
    <w:p>
      <w:r>
        <w:t>Le note professionali dell’avv. DUF 1, adattate all’effettiva durata del dibattimento, sono state approvate così come esposte, per complessivi CHF 5’216.70, comprensivi di onorario, spese e IVA. Visti gli art. 12, 40, 42, 44, 47, 70 CP; 27 cpv. 1, 32 cpv. 2 e 3, 90 cpv. 3 e 4 lett. c LCStr; 4a cpv. 1 lett. b ONC; 22 cpv. 1 OSStr; 82, 135, 268, 422 e segg. CPP e 22 TG sulle spese; dichiara e pronuncia: IM 1 1.   è autore colpevole di: 1.1. grave infrazione alle norme della circolazione per avere, il 25 aprile 2016, a __________, sull’autostrada A2 in direzione nord, violato le elementari norme della circolazione stradale, correndo il forte rischio di causare un incidente della circolazione con feriti gravi o morti, attraverso la grave inosservanza di un limite di velocità, e meglio per avere circolato alla guida dell’autoveicolo ______ targato __________ alla velocità punibile di 148 Km/h (153 Km/h dedotto il margine di tolleranza di 5 Km/h), accertata dalla Polizia mediante apparecchio Traffic Observer LMS-14, malgrado il vigente limite di 80 Km/h, prescritto a seguito di lavori sulla carreggiata, superando quindi di 68 Km/h la velocità massima consentita; e meglio come descritto nell’atto d’accusa e precisato nei considerandi . 2.   Di conseguenza, IM 1 è condannato 2.1.   alla pena detentiva di 12 (dodici) mesi. 2.2.   L’esecuzione della pena detentiva è sospesa e al condannato è impartito un periodo di prova di anni 2 (due). 3.   Sulla somma di denaro sotto sequestro è mantenuto il sequestro conservativo a parziale copertura di tassa di giustizia e spese procedurali. 4.   La tassa di giustizia di CHF 500.00 e le spese procedurali sono a carico del condannato. 4.1.   In caso di motivazione scritta la tassa di giustizia sarebbe di CHF 750.00. 5.   Le spese per la difesa d’ufficio sono sostenute dallo Stato. 5.1.   La nota professionale dell’avv. DUF 1 è approvata per: onorario                      CHF  4’605.00 spese                          CHF      225.30 IVA (8%) CHF      386.40 totale                           CHF  5’216.70 5.2.   Il condannato è tenuto a rimborsare allo Stato del Cantone Ticino l’importo di CHF 5'216.70 (art. 135 cpv. 4 CPP). 6.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Per la Corte delle assise correzionali Il Presidente                                                          La vicecancelliera Distinta spese : Tassa di giustizia                             fr.           750.-- Inchiesta preliminare                       fr.           200.-- Altri disborsi (postali, tel., ecc.) fr.             68.90 fr.        1'018.90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