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60.2023.30 vom 5. Mai 2023</w:t>
      </w:r>
    </w:p>
    <w:p>
      <w:r>
        <w:t>TI Tribunale d'appello, 2023-05-05, IT</w:t>
      </w:r>
    </w:p>
    <w:p>
      <w:r>
        <w:rPr>
          <w:b/>
        </w:rPr>
        <w:t xml:space="preserve">Quelle: </w:t>
      </w:r>
      <w:r>
        <w:t>https://mcp.opencaselaw.ch/entscheid/ti_gerichte_60.2023.30</w:t>
      </w:r>
    </w:p>
    <w:p>
      <w:r>
        <w:t>FR: TI_GERICHTE 60.2023.30 du 5 mai 2023</w:t>
      </w:r>
    </w:p>
    <w:p>
      <w:r>
        <w:t>IT: TI_GERICHTE 60.2023.30 del 5 maggio 2023</w:t>
      </w:r>
    </w:p>
    <w:p>
      <w:pPr>
        <w:pStyle w:val="Heading2"/>
      </w:pPr>
      <w:r>
        <w:t>Erwägungen</w:t>
      </w:r>
    </w:p>
    <w:p>
      <w:r>
        <w:rPr>
          <w:b/>
        </w:rPr>
        <w:t>E. 1.1</w:t>
      </w:r>
    </w:p>
    <w:p>
      <w:r>
        <w:t>Giusta 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9/10.2.2023 contro il decreto 30.1.2023, è tempestivo (perché introdotto nel termine di dieci giorni secondo l’art. 396 cpv. 1 CPP) e, anche, proponibile (ai sensi dell’art. 393 cpv. 1 lit. a CPP) [BSK StPO – F. BOMMER / P. GOLDSCHMID, 2. ed., art. 263 CPP n. 68; BSK StPO – P. GUIDON, op. cit., art. 393 CPP n. 10; ZK StPO – S. HEIMGARTNER, 3. ed., art. 263 CPP n. 27; ZK StPO – A.J. KELLER, op. cit., art. 393 CPP n. 15].</w:t>
      </w:r>
    </w:p>
    <w:p>
      <w:r>
        <w:rPr>
          <w:b/>
        </w:rPr>
        <w:t>E. 1.3.1</w:t>
      </w:r>
    </w:p>
    <w:p>
      <w:r>
        <w:t>In applicazione dell’art. 382 cpv. 1 CPP sono legittimate a ricorrere contro una decisione le parti che hanno un interesse giuridicamente protetto all’annullamento oppure alla modifica della pronuncia (decisione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attualmente (DTF 144 IV 81 consid. 2.3.1.) leso dalla decisione che impugna (StPO Praxiskommentar – N. SCHMID / D. JOSITSCH, 3. ed., art. 382 CPP n. 2).</w:t>
      </w:r>
    </w:p>
    <w:p>
      <w:r>
        <w:rPr>
          <w:b/>
        </w:rPr>
        <w:t>E. 1.3.2</w:t>
      </w:r>
    </w:p>
    <w:p>
      <w:r>
        <w:t>RE 1, che sostiene di essere la proprietaria dell’orologio marca __________ in questione e dunque terza aggravata da atti procedurali [secondo l’ art. 105 cpv. 1 lit. f CPP (decisione TF 6B_1088/2017 del 4.4.2018 consid. 2.; StGB Praxiskommentar – S. TRECHSEL / M. PIETH / M. JEAN-RICHARD, 4. ed., art. 70 CP n. 11)], ovvero dal sequestro del suddetto orologio , è pacificamente legittimata, giusta i combinati art. 382 cpv. 1 e 105 cpv. 2 CPP, a contestare la pronuncia 30.1.2023 del procuratore pubblico, avendo un interesse giuridicamente protetto alla restituzione del suddetto orologio.</w:t>
      </w:r>
    </w:p>
    <w:p>
      <w:r>
        <w:rPr>
          <w:b/>
        </w:rPr>
        <w:t>E. 1.4</w:t>
      </w:r>
    </w:p>
    <w:p>
      <w:r>
        <w:t>Le esigenze di forma e motivazione del reclamo sono rispettate. L’impugnativa, in queste circostanze, è ricevibile in ordine.</w:t>
      </w:r>
    </w:p>
    <w:p>
      <w:r>
        <w:rPr>
          <w:b/>
        </w:rPr>
        <w:t>E. 2.1</w:t>
      </w:r>
    </w:p>
    <w:p>
      <w:r>
        <w:t>Ai sensi dell’art.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cautelare, ha lo scopo di acquisire e conservare gli oggetti per il dispiegamento della procedura e pertanto per le necessità dell’istruzione preliminare, per le decisioni del magistrato requirente e per quelle del giudice del merito nella prospettiva – anche – della produzione e valutazione delle prove (sequestro probatorio secondo l’art. 263 cpv. 1 lit. a CPP) [decisione TF 1B_492/2017 del 25.4.2018 consid. 2.2.] e della decisione di confisca, restituzione o devoluzione, come agli art. 69 ss. CP (sequestro confiscatorio in applicazione dell’art. 263 cpv. 1 lit. d CPP) [decisione TF 1B_76/2020 del 6.7.2020 consid. 4.1.; ZK StPO – S. HEIMGARTNER, op. cit., art. 263 CPP n. 15 ss.; N. OBERHOLZER, Grundzüge des Strafprozessrechts, 4. ed., n. 1488 ss.]. Il sequestro (quale misura coercitiva che restringe la garanzia della proprietà giusta l’art. 26 Cost.) è legittimo – secondo l’art. 197 CPP – soltanto se si fonda su una base legale, in presenza concorrente di sufficienti indizi di reato (decisione TF 1B_204/2020 del 22.12.2020 consid. 2.2.), se gli obiettivi con esso perseguiti non possono essere raggiunti mediante misure meno severe (proporzionalità), se l’importanza del reato lo giustifica (proporzionalità) e se vi è connessione tra questo e l’oggetto che così occorre salvaguardare per istruttoria e giudizio (decisione TF 6B_815/2020 del 22.12.2020 consid. 10.1; decisione TF 1B_459/2016 del 9.1.2017 consid. 2; BSK StPO – F. BOMMER / P. GOLDSCHMID, op. cit., vor art. 263-268 CPP n. 11 ss.).</w:t>
      </w:r>
    </w:p>
    <w:p>
      <w:r>
        <w:rPr>
          <w:b/>
        </w:rPr>
        <w:t>E. 2.2</w:t>
      </w:r>
    </w:p>
    <w:p>
      <w:r>
        <w:t>La decisione sulla sorte degli oggetti e dei valori patrimoniali sequestrati giusta l’art. 263 CPP è disciplinata dall’art. 267 CPP. Se il motivo del sequestro viene meno, il pubblico ministero oppure il giudice dispone il dissequestro e restituisce gli oggetti o i valori patrimoniali agli aventi diritto (art. 267 cpv. 1 CPP) [BSK StPO – F. BOMMER / P. GOLDSCHMID, op. cit., art. 267 CPP n. 3 ss.; ZK StPO – S. HEIMGARTNER, op. cit., art. 267 CPP n. 3; N. OBERHOLZER, op. cit., n. 1543 ]. Per quanto non dissequestrato, la restituzione agli aventi diritto, l’utilizzo a copertura delle spese o la confisca sono stabiliti nella decisione finale in applicazione dell’art. 267 cpv. 3 CPP (BSK StPO – F. BOMMER / P. GOLDSCHMID, op. cit., art. 267 CPP n. 7 ss.; ZK StPO – S. HEIMGARTNER, op. cit., art. 267 CPP n. 5; N. OBERHOLZER, op. cit., n. 1532 e 1535 ).</w:t>
      </w:r>
    </w:p>
    <w:p>
      <w:r>
        <w:rPr>
          <w:b/>
        </w:rPr>
        <w:t>E. 2.3</w:t>
      </w:r>
    </w:p>
    <w:p>
      <w:r>
        <w:t>Ai sensi dell’art. 70 cpv. 1 CP il giudice ordina la confisca [nei confronti dell’imputato oppure nei confronti di terzi (in quest’ultimo caso alle condizioni in applicazione dell’art. 70 cpv. 2 CP)] dei valori patrimoniali che costituiscono il prodotto di un reato o erano destinati a determinare o a ricompensare l’autore di un reato, a meno che debbano essere restituiti alla persona lesa allo scopo di ripristinare la situazione legale (DTF 140 IV 57 consid. 4.1.1.). La confisca è assicurata con il sequestro giusta l’art. 263 CPP.</w:t>
      </w:r>
    </w:p>
    <w:p>
      <w:r>
        <w:rPr>
          <w:b/>
        </w:rPr>
        <w:t>E. 3.1</w:t>
      </w:r>
    </w:p>
    <w:p>
      <w:r>
        <w:t>Si è detto che, con decisione 30.1.2023 il magistrato inquirente ha (tra l’altro) respinto la richiesta di dissequestro dell’orologio in questione, ritenuto che la documentazione prodotta da RE 1 in relazione all'acquisto del citato bene non sarebbe sufficiente “ per escludere che nel corso di questi 20 anni non ci sia stato alcun passaggio di proprietà (in particolare in favore di __________, visto che l'orologio è stato trovato in suo possesso); questione che dovrà giocoforza essere stabilita a livello civile ” (p. 1, AI 49).</w:t>
      </w:r>
    </w:p>
    <w:p>
      <w:r>
        <w:rPr>
          <w:b/>
        </w:rPr>
        <w:t>E. 3.2</w:t>
      </w:r>
    </w:p>
    <w:p>
      <w:r>
        <w:t>A fronte di ciò, occorre esaminare se - in concreto - il magistrato inquirente ha compiutamente indicato i motivi a sostegno del mantenimento del sequestro, ossequiando l’obbligo di motivazione che gli compete.</w:t>
      </w:r>
    </w:p>
    <w:p>
      <w:r>
        <w:rPr>
          <w:b/>
        </w:rPr>
        <w:t>E. 3.3.1</w:t>
      </w:r>
    </w:p>
    <w:p>
      <w:r>
        <w:t>Il diritto di essere sentito giusta gli art. 3 cpv. 2 lit. c CPP e 29 cpv. 2 Cost. comprende segnatamente il diritto di esprimersi prima che una decisione sia presa, il diritto di poter consultare gli atti e, ancora, il diritto di ottenere dall’autorità una decisione motivata.</w:t>
      </w:r>
    </w:p>
    <w:p>
      <w:r>
        <w:rPr>
          <w:b/>
        </w:rPr>
        <w:t>E. 3.3.2</w:t>
      </w:r>
    </w:p>
    <w:p>
      <w:r>
        <w:t>L’obbligo di motivazione impone di menzionare, almeno brevemente, i motivi che hanno spinto l’autorità a decidere in un senso piuttosto che nell’altro e di porre dunque l’interessato nelle condizioni di rendersi conto della portata della pronuncia e delle eventuali possibilità di una sua censura presso un’istanza superiore, che deve poter esercitare il controllo (decisione TF 6B_732/2021 del 24.2.2022 consid. 1.2.; cfr. ZK StPO – D. BRÜSCHWEILER / R. NADIG / R. SCHNEEBELI, op. cit., art. 80 CPP n. 2). Questi principi devono essere ossequiati, evidentemente, anche in relazione alla motivazione di una decisione concernente un sequestro o un dissequestro, che deve esprimersi sugli elementi essenziali per il controllo della legalità della misura cautelare. Non compete a questa Corte individuare nell’incarto gli elementi attestanti i presupposti del mantenimento oppure della revoca del provvedimento coercitivo (decisione TF 1B_406/2018 del 12.9.2018 consid. 3.1.). Essa ha solo il compito di verificare la conformità alla legge della misura, che deve menzionare, per consentirne l’esame, tutte le condizioni giustificanti la medesima.</w:t>
      </w:r>
    </w:p>
    <w:p>
      <w:r>
        <w:rPr>
          <w:b/>
        </w:rPr>
        <w:t>E. 3.4.1</w:t>
      </w:r>
    </w:p>
    <w:p>
      <w:r>
        <w:t>Ora, la decisione impugnata, nella misura in cui respinge la richiesta di dissequestro dell’orologio in questione, facendo unicamente riferimento a possibili passaggi di proprietà dello stesso, risulta essere poco chiara, lacunosa e non sufficientemente motivata.</w:t>
      </w:r>
    </w:p>
    <w:p>
      <w:r>
        <w:rPr>
          <w:b/>
        </w:rPr>
        <w:t>E. 3.4.1.1</w:t>
      </w:r>
    </w:p>
    <w:p>
      <w:r>
        <w:t>Si è detto che il procedimento penale qui in discussione ha preso avvio a seguito dell’incidente in cui ha perso la vita __________, ex-marito della qui reclamante. È stato aperto l’inc. MP __________ nei confronti di ignoti per il titolo di omicidio colposo (cfr. comunicazione di chiusura dell’istruzione, AI 52).</w:t>
      </w:r>
    </w:p>
    <w:p>
      <w:r>
        <w:rPr>
          <w:b/>
        </w:rPr>
        <w:t>E. 3.4.1.2</w:t>
      </w:r>
    </w:p>
    <w:p>
      <w:r>
        <w:t>All’inizio dell’inchiesta, il procuratore pubblico ha rettamente disposto dei provvedimenti coercitivi, tra cui l’autopsia e l’esame tossicologico sulla salma, una perizia TAC post mortem, la perquisizione ed il sequestro del sistema di videosorveglianza ed un controllo tecnico del veicolo, volti ad accertare la dinamica dei fatti e ad escludere l’intervento di terzi nel decesso di __________. In relazione al provvedimento qui contestato si rileva che, agli atti dell’inc. MP __________ non vi è un ordine di perquisizione e sequestro debitamente motivato; vi è unicamente il “ Verbale di perquisizione e sequestro ” 6.8.2022, dal quale risulta (tra l’altro) l’elenco degli oggetti sequestrati quali “ mezzi di prova ” (p. 2, ad AI 19), tra cui figura l’orologio in questione.</w:t>
      </w:r>
    </w:p>
    <w:p>
      <w:r>
        <w:rPr>
          <w:b/>
        </w:rPr>
        <w:t>E. 3.4.1.3</w:t>
      </w:r>
    </w:p>
    <w:p>
      <w:r>
        <w:t>In concreto, fanno difetto tutti i requisiti per il mantenimento del sequestro, in particolare l’esistenza di sufficienti indizi di reato, così come pure la connessione tra l’oggetto sequestrato ed un eventuale reato. Il magistrato inquirente, nel decreto qui impugnato, ha peraltro omesso di confrontarsi con detti presupposti. Neppure si può sostenere che un orologio trovato al polso di una vittima di un incidente stradale possa servire quale mezzo di prova.</w:t>
      </w:r>
    </w:p>
    <w:p>
      <w:r>
        <w:rPr>
          <w:b/>
        </w:rPr>
        <w:t>E. 3.4.2</w:t>
      </w:r>
    </w:p>
    <w:p>
      <w:r>
        <w:t>Non va inoltre dimenticato che, esperiti gli atti che riteneva opportuni, pendente la procedura di reclamo, con comunicazione di chiusura dell’istruzione 13.2.2023 il procuratore pubblico ha prospettato alle parti l’emanazione di un decreto di abbandono (AI 52). In sede di osservazioni al gravame, il magistrato inquirente ha indicato che, “ in caso di formale abbandono, non si pronuncerà in merito alle azioni civili e demanderà la reclamante o l'accusatore privato a proporre la restituzione del pregiato orologio al foro civile (assegnando un termine per promuovere azione civile presso il foro competente), come previsto dall'art. 320 cpv. 3 CPP ” (doc. 3, inc. CRP). A torto.</w:t>
      </w:r>
    </w:p>
    <w:p>
      <w:r>
        <w:rPr>
          <w:b/>
        </w:rPr>
        <w:t>E. 3.4.2.1</w:t>
      </w:r>
    </w:p>
    <w:p>
      <w:r>
        <w:t>L’art. 267 cpv. 1 CPP dispone che, se il motivo del sequestro viene meno, il pubblico ministero oppure il giudice dispone il dissequestro e restituisce gli oggetti o i valori patrimoniali agli aventi diritto. L’inchiesta in questione è terminata ed il magistrato inquirente ha prospettato l’emanazione di un decreto di abbandono, non avendo ravvisato indizi in capo a chicchesia per il reato di omicidio colposo. Il primo presupposto per il mantenimento del sequestro, segnatamente l’esistenza di sufficienti indizi di reato giusta l’art. 197 cpv. 1 lit. b CPP, è quindi venuto a cadere.</w:t>
      </w:r>
    </w:p>
    <w:p>
      <w:r>
        <w:rPr>
          <w:b/>
        </w:rPr>
        <w:t>E. 3.4.2.2</w:t>
      </w:r>
    </w:p>
    <w:p>
      <w:r>
        <w:t>A fronte di quanto sopra, non è chiaro a che titolo il procuratore pubblico abbia deciso di mantenere il sequestro dell’orologio in questione, limitandosi - come visto - ad indicare che non sarebbe possibile escludere un passaggio di proprietà del citato bene. Neppure il sequestro può essere mantenuto a fini di confisca, aspetto che peraltro il procuratore pubblico nemmeno sostiene. Si è detto che l’art. 70 CP presuppone valori patrimoniali che costituiscono il prodotto di un reato oppure che erano destinati a determinare o a ricompensare l’autore di un reato. Aspetto evidentemente non contemplato in concreto.</w:t>
      </w:r>
    </w:p>
    <w:p>
      <w:r>
        <w:rPr>
          <w:b/>
        </w:rPr>
        <w:t>E. 3.4.3</w:t>
      </w:r>
    </w:p>
    <w:p>
      <w:r>
        <w:t>Si rileva infine che non spetta al magistrato inquirente sostituirsi al giudice civile in caso di un eventuale contenzioso legato alla successione di __________. In siffatte circostanze, visto come il mantenimento del sequestro non è giustificato, il procuratore pubblico provvederà a dissequestrare il citato orologio a favore degli aventi diritto, segnatamente la comunione ereditaria di __________.</w:t>
      </w:r>
    </w:p>
    <w:p>
      <w:r>
        <w:rPr>
          <w:b/>
        </w:rPr>
        <w:t>E. 3.5</w:t>
      </w:r>
    </w:p>
    <w:p>
      <w:r>
        <w:t>Alla luce di quanto sopra esposto, il decreto qui impugnato deve essere annullato e gli atti dell’incarto MP __________ ritornati al magistrato inquirente per i suoi incombenti.</w:t>
      </w:r>
    </w:p>
    <w:p>
      <w:r>
        <w:rPr>
          <w:b/>
        </w:rPr>
        <w:t>E. 4</w:t>
      </w:r>
    </w:p>
    <w:p>
      <w:r>
        <w:t>Il gravame è evaso ai sensi dei considerandi. Non si prelevano tassa di giustizia e spese. Non si assegnano indennità, non avendo RE 1, fatto capo ai servizi di un legale. Per questi motivi, richiamati gli art. 263 ss., 379 ss. e 393 ss. CPP e ogni altra disposizione applicabile, pronuncia 1.   Il reclamo è evaso ai sensi dei considerandi. Di conseguenza: §   Il decreto 30.1.2023 del procuratore pubblico Margherita Lanzillo emanato nell’ambito del procedimento penale di cui all’inc. MP __________ è annullato. §§   Gli atti dell’incarto MP __________ sono ritornati al magistrato inquirente per procedere nei suoi incombenti ai sensi dei considerandi. 2.   Non si prelevano tassa di giustizia e spese. Non sono assegnate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