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60.2022.5 vom 7. April 2022</w:t>
      </w:r>
    </w:p>
    <w:p>
      <w:r>
        <w:t>TI Tribunale d'appello, 2022-04-07, IT</w:t>
      </w:r>
    </w:p>
    <w:p>
      <w:r>
        <w:rPr>
          <w:b/>
        </w:rPr>
        <w:t xml:space="preserve">Quelle: </w:t>
      </w:r>
      <w:r>
        <w:t>https://mcp.opencaselaw.ch/entscheid/ti_gerichte_60.2022.5</w:t>
      </w:r>
    </w:p>
    <w:p>
      <w:r>
        <w:t>FR: TI_GERICHTE 60.2022.5 du 7 avril 2022</w:t>
      </w:r>
    </w:p>
    <w:p>
      <w:r>
        <w:t>IT: TI_GERICHTE 60.2022.5 del 7 aprile 2022</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lit. h della Legge sull'esecuzione delle pene e delle misure per gli adulti del 20.4.2010 (LEPM, RL 341.100) conferisce al giudice dell'applicazione della pena − in Ticino il giudice dei provvedimenti coercitivi giusta l'art. 73 LOG − la competenza, fra l'altro, a decidere il collocamento iniziale del condannato ex art. 76 CP.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3.01.2022 a questa Corte contro la decisione 24.12.2021 del giudice dei provvedimenti coercitivi – notificata alla reclamante il 28.12.2021 (AI 5, inc. GPC __________) – è tempestivo (in quanto rispettoso del termine di 10 giorni imposto dall’art. 396 cpv. 1 CPP), oltre che proponibile (art. 12 cpv. 1 lit. b LEPM i.c.c. art. 393 CPP). Le esigenze di forma e di motivazione sono rispettate. RE 1, quale condannata in espiazione di pena, è legittimata a reclamare ex art. 382 cpv. 1 CPP, avendo un interesse giuridicamente protetto all’annullamento o alla modifica del giudizio, che la lede personalmente, direttamente ed attualmente. Il reclamo è, di conseguenza, ricevibile in ordine.</w:t>
      </w:r>
    </w:p>
    <w:p>
      <w:r>
        <w:rPr>
          <w:b/>
        </w:rPr>
        <w:t>E. 2</w:t>
      </w:r>
    </w:p>
    <w:p>
      <w:r>
        <w:t>.   2.1. L’art. 76 cpv. 1 CP stabilisce che le pene detentive sono scontate in un penitenziario chiuso o aperto (ove con il termine aperto si intende uno stabilimento “aperto” o “semiaperto”, BSK Strafrecht I - B.F. BRÄGGER, 4a. ed., art. 76 CP n. 8). Il detenuto è collocato in un penitenziario chiuso o in un reparto chiuso di un penitenziario aperto se vi è pericolo che si dia alla fuga o vi è da attendersi che commetta nuovi reati (cpv. 2). L’art. 75a cpv. 2 CP precisa che per regime aperto si intende un’espiazione della pena tale da essere meno restrittiva della libertà, in particolare il trasferimento in un penitenziario aperto, la concessione di congedi, l’autorizzazione del lavoro o alloggio esterni e la liberazione condizionale”.</w:t>
      </w:r>
    </w:p>
    <w:p>
      <w:r>
        <w:rPr>
          <w:b/>
        </w:rPr>
        <w:t>E. 2.2</w:t>
      </w:r>
    </w:p>
    <w:p>
      <w:r>
        <w:t>L’art. 1 cpv. 3 del Regolamento del 29.10.2010 relativo alla lista degli stabilimenti per l’esecuzione delle privazioni di libertà a carattere penale (emanato sulla base dell’art. 4 lit. k del Concordato sull’esecuzione delle pene privative di libertà e delle misure concernenti gli adulti e i giovani adulti nei cantoni latini del 10.04.2006, RL 343.200) indica che gli stabilimenti sono concepiti ed organizzati in funzione dell’importanza del rischio d’evasione e di reiterazione che rappresenta la persona che vi è collocata per l’esecuzione della detenzione. Tale valutazione è effettuata in funzione delle circostanze e di diversi elementi (segnatamente durata della detenzione, infrazioni e condizioni in cui sono state commesse, condizioni personali della persona detenuta, legami con la Svizzera e statuto amministrativo). L'art. 19 del Regolamento sull'esecuzione delle pene e delle misure per gli adulti del 6.03.2007 (REPM, RL 341.110)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Una persona condannata può scontare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Del pari l'art. 3 del Regolamento delle strutture carcerarie del Cantone Ticino del 15.12.2010 (RL 342.110, nel seguito RSC) precisa che il carcere penale “La Stampa”, quale struttura chiusa (cpv. 4), è, tra l’altro, destinato all’incarcerazione di persone maggiorenni poste in esecuzione di pena o di misura o di internamento (cpv. 3 lit. a). Per contro “Lo Stampino”, quale struttura aperta (cpv. 5), è in particolare destinata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2.3</w:t>
      </w:r>
    </w:p>
    <w:p>
      <w:r>
        <w:t>In definitiva, in base all’art. 76 cpv. 2 CP, gli unici criteri determinanti per il collocamento in un penitenziario chiuso sono il pericolo che il detenuto si dia alla fuga o il rischio che egli commetta nuovi reati; criteri questi ultimi che non devono essere realizzati cumulativamente (cfr. Messaggio concernente la modifica del Codice penale svizzero del 21.09.1998, pubblicato in FF 1999 p. 1669 segg., p. 1793; BSK Strafrecht I – B.F. BRÄGGER, 4a. ed., art. 76 CP n. 8). Con quale intensità debba sussistere il pericolo di fuga o il rischio che il detenuto commetta nuovi reati posto dall'art. 76 cpv. 2 CP, non può essere espresso in generale e in astratto ma dipende dalle circostanze. Per ammettere l'esistenza di un pericolo di fuga o di recidiva non occorre certamente che siano state intraprese manovre concrete in tal senso, è bensì sufficiente che sia riconoscibile l'esistenza di detti rischi (BSK Strafrecht I − B. F. BRÄGGER, op. cit., art. 77b CP n. 9). I requisiti posti al comportamento del detenuto in espiazione di pena e i rischi di fuga o di recidiva si determinano di regola secondo i criteri che valgono per la liberazione condizionale ex art. 86 CP (decisione TF 6B_577/2020 del 7.07.2020, consid. 1.3.3.).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3</w:t>
      </w:r>
    </w:p>
    <w:p>
      <w:r>
        <w:t>Nella fattispecie, dall’esame degli atti emerge che - come dettagliatamente e chiaramente illustrato dalla CARP nella sentenza 15.12.2021 con cui ha pronunciato la misura dell’espulsione, confermando le considerazioni espresse precedentemente dalla Corte di prime cure - RE 1, cittadina kosovara, benché nata e cresciuta nel nostro paese, non ha dimostrato di essersi integrata né professionalmente né socialmente nel nostro territorio. Dopo le scuole dell’obbligo non ha portato a termine una formazione - seppure in ciò favorita da incentivi statali - conseguendo un diploma: né quale assistente dentale (professione che, a suo dire, non le sarebbe interessata), né quale operatrice socio-sanitaria (che non le sarebbe piaciuta) e nemmeno nel campo d’attività per il quale - come ribadito dal suo patrocinatore - essa avrebbe scoperto di avere una vocazione, ossia il lavoro con i bambini. Col che, oggi alla soglia dei trent’anni, tranne che per delle sporadiche occupazioni di pochi mesi, dall’età di 18 anni non ha sostanzialmente svolto alcuna attività lavorativa con cui sostentarsi, bensì ha vissuto a carico dello Stato. Ha infatti percepito fino all’età di 25 anni la rendita completiva per figli legata alla rendita AI versata al padre (in AI al 100 % dai 38 anni d’età), oltre che - per un certo periodo - la disoccupazione, e dal 2014 al suo arresto (avvenuto il 7.07.2020) prestazioni assistenziali, di cui quasi CHF 117'000.-- incassati indebitamente, fornendo false informazioni e falsificando documenti. Essa ha inoltre cumulato debiti per oltre CHF 30'000.--, e dal 2014, insieme al compagno, si è data al traffico di sostanze stupefacenti per incamerarne i lucrosi guadagni. Traffici illeciti bruscamente interrotti non tanto per il peso della responsabilità derivata dalla nascita della figlia nel maggio 2020, quanto piuttosto dall’arresto (suo e del suo compagno) avvenuto il 7.07.2020. Dal trattenerla dal delinquere e dal trovarsi un’occupazione onesta con cui mantenersi, nulla ha giovato la vicinanza dei suoi stretti familiari. Dai genitori - entrambi cittadini kosovari, residenti nel __________ - si è affrancata dall’età di 18 anni per andare a vivere da sola, salvo poi coinvolgere la madre e la sorella nell’invio all’estero dei proventi illeciti della droga (per cui sono state condannate per riciclaggio di denaro) e addirittura rifornire di cocaina la sorellastra. RE 1 non ha dato prova di aver intessuto nel nostro paese una costruttiva rete sociale. Secondo gli accertamenti delle Corti del merito essa ha infatti perlopiù intrattenuto frequentazioni in ambienti poco raccomandabili. Ancora minorenne, al rientro da un soggiorno in __________ dedito allo shopping e al bighellonare, è stata fermata in dogana a bordo di un’autovettura guidata da un conoscente di cittadinanza dominicana e su cui vi erano occultati 10 kg lordi di cocaina. Ha intrattenuto per alcuni mesi una relazione sentimentale con un cittadino dominicano, autore del tentato duplice omicidio di due cittadini dominicani avvenuto presso una nota discoteca del __________. Il suo più recente compagno, dal quale ha avuto nel maggio 2020 una figlia, si trova parimenti in carcere per i traffici di sostanza stupefacente commessi con lei. Quest’ultimo, in quanto cittadino dominicano con ultima residenza in Italia e colpito da espulsione per la durata di 10 anni, una volta espiato il proprio debito con la giustizia (che non ha contestato) dovrà forzatamente lasciare il nostro paese, dove gli è precluso sin d’ora un inserimento. RE 1 presenta altresì importanti legami con l’estero. Come ricostruito dalla CARP nella sentenza 15.12.2021 (sulla base dei timbri apposti sui due passaporti kosovari) la reclamante ha effettuato frequenti e lunghi viaggi all’estero, spesso nella Repubblica dominicana (paese d’origine del padre di sua figlia), come pure in Kosovo, dove risiedono alcuni suoi parenti, dove ha registrato la nascita della figlioletta (pure cittadina kosovara), e dove ha inviato parte dei proventi illeciti del traffico di cocaina. La CARP ha altresì stabilito come la reclamante abbia una sufficiente conoscenza della lingua albanese, appresa dai genitori che tra loro parlavano tale idioma, e come sia cresciuta in un contesto familiare caratterizzato da costumi e usanze del suo Paese di provenienza. Alla luce di tutte queste circostanze, forza è concludere che il pericolo di fuga in capo alla reclamante - con carente integrazione nella nostra realtà dal profilo sociale e professionale, ancorché vi sia nata e cresciuta, con una preoccupante situazione debitoria nei confronti dello Stato e degli assicuratori malattia, con la prospettiva di dover lasciare per diversi anni il nostro territorio in ragione dei gravi reati commessi dopo l’espiazione della restante pena (ancora relativamente lunga), con importanti legami con l’estero dove si è recata con frequenti e lunghi viaggi, anziché assimilare i valori e costumi del nostro territorio, territorio questo dove nemmeno ha fondato il suo stretto nucleo familiare dopo essersi affrancata dai genitori dalla maggiore età - allo stadio attuale è alto, come rettamente valutato dal giudice dei provvedimenti coercitivi. Di conseguenza il giudizio qui impugnato deve essere tutelato e il reclamo essere respinto.</w:t>
      </w:r>
    </w:p>
    <w:p>
      <w:r>
        <w:rPr>
          <w:b/>
        </w:rPr>
        <w:t>E. 4</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r>
        <w:rPr>
          <w:b/>
        </w:rPr>
        <w:t>E. 4.1</w:t>
      </w:r>
    </w:p>
    <w:p>
      <w:r>
        <w:t>La reclamante chiede il riconoscimento della difesa d’ufficio nella persona dell’avv. PR 1 e del beneficio del gratuito patrocinio in relazione alla procedura davanti a questa Corte.</w:t>
      </w:r>
    </w:p>
    <w:p>
      <w:r>
        <w:rPr>
          <w:b/>
        </w:rPr>
        <w:t>E. 4.2</w:t>
      </w:r>
    </w:p>
    <w:p>
      <w:r>
        <w:t>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dalla reclamante, in base alle normative in vigore dall’1.01.2011, riservate dall’art. 439 cpv. 1 CPP per le procedure davanti al giudice dei provvedimenti coercitivi in materia di applicazione della pena.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4.3</w:t>
      </w:r>
    </w:p>
    <w:p>
      <w:r>
        <w:t>Anche in questa sede occorre riconoscere la situazione economica precaria in cui versa la reclamante, senza attività lucrativa né sostanza (come al certificato per l’ammissione all’assistenza giudiziaria del 28.10.2021 e alla decisione di tassazione 29.09.2021), che ha beneficiato di prestazioni assistenziali e con debiti a suo carico. Condizione questa già valutata dalle Corti del merito, per cui gli è stato nominato sia in primo che in secondo grado un difensore d’ufficio. Sprovvista quindi dei mezzi necessari per far fronte alla sua difesa necessaria per la tutela dei suoi diritti, si giustifica in concreto concederle il beneficio dell’assistenza giudiziaria, oltre a prescindere dal prelievo della tassa di giustizia e delle spese. Per questi motivi, richiamati gli art. 74 segg. CP, 379 segg., 393 segg., 439 cpv. 1 CPP, 29 cpv. 3 Cost, la LEPM, il REPM, il RSC, il Regolamento del 29.10.2020 relativo alla lista degli stabilimenti per l’esecuzione delle privazioni di libertà a carattere penale, la LAG, ed ogni altra disposizione applicabile, pronuncia 1.   Il reclamo è respinto 2.   La domanda di assistenza giudiziaria è accolta e al patrocinatore di RE 1, avv. PR 1, è riconosciuto il versamento dell’importo di CHF 600.-- (seicento) a titolo di indennità per la procedura di reclamo davanti a questa Corte. 3.   Non si prelevano tassa di giustizia e spese.</w:t>
      </w:r>
    </w:p>
    <w:p>
      <w:r>
        <w:rPr>
          <w:b/>
        </w:rPr>
        <w:t>E. 10</w:t>
      </w:r>
    </w:p>
    <w:p>
      <w:r>
        <w:t>giorni imposto dallart. 396 cpv. 1 CPP), oltre che proponibile (art. 12 cpv. 1 lit. b LEPM i.c.c. art. 393 CPP).</w:t>
      </w:r>
    </w:p>
    <w:p>
      <w:r>
        <w:t>Le esigenze di forma e di motivazione sono rispettate.</w:t>
      </w:r>
    </w:p>
    <w:p>
      <w:r>
        <w:t>RE 1, quale condannata in espiazione di pena, è legittimata a reclamare ex art. 382 cpv. 1 CPP, avendo un interesse giuridicamente protetto allannullamento o alla modifica del giudizio, che la lede personalmente, direttamente ed attualmente.</w:t>
      </w:r>
    </w:p>
    <w:p>
      <w:r>
        <w:t>Conformemente alla giurisprudenza federale il rischio di fuga deve essere valutato in considerazione dellinsieme delle circostanze proprie al detenuto, quali per esempio le sue condizioni di vita (Lebensumstände), i legami familiari (familiäre Bindungen), la sua situazione professionale e finanziaria (berufliche und finanzielle Situation), nonché le sue relazioni allestero (Kontakte zum Ausland).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Ilquantumdella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(Kriminaltouristen) e per i condannati senza un valido permesso di soggiorno o di domicilio (BSK Strafrecht I−B. F. BRÄGGER, op. cit., art. 76 CP n. 4).</w:t>
      </w:r>
    </w:p>
    <w:p>
      <w:r>
        <w:t>Per questi motivi,</w:t>
      </w:r>
    </w:p>
    <w:p>
      <w:r>
        <w:t>richiamati gli art. 74 segg. CP, 379 segg., 393 segg., 439 cpv. 1 CPP, 29 cpv. 3 Cost, la LEPM, il REPM, il RSC, il Regolamento del 29.10.2020 relativo alla lista degli stabilimenti per lesecuzione delle privazioni di libertà a carattere penale, la LAG,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