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60.2022.200 vom 22. März 2023</w:t>
      </w:r>
    </w:p>
    <w:p>
      <w:r>
        <w:t>TI Tribunale d'appello, 2023-03-22, IT</w:t>
      </w:r>
    </w:p>
    <w:p>
      <w:r>
        <w:rPr>
          <w:b/>
        </w:rPr>
        <w:t xml:space="preserve">Quelle: </w:t>
      </w:r>
      <w:r>
        <w:t>https://mcp.opencaselaw.ch/entscheid/ti_gerichte_60.2022.200</w:t>
      </w:r>
    </w:p>
    <w:p>
      <w:r>
        <w:t>FR: TI_GERICHTE 60.2022.200 du 22 mars 2023</w:t>
      </w:r>
    </w:p>
    <w:p>
      <w:r>
        <w:t>IT: TI_GERICHTE 60.2022.200 del 22 marzo 2023</w:t>
      </w:r>
    </w:p>
    <w:p>
      <w:pPr>
        <w:pStyle w:val="Heading2"/>
      </w:pPr>
      <w:r>
        <w:t>Erwägungen</w:t>
      </w:r>
    </w:p>
    <w:p>
      <w:r>
        <w:rPr>
          <w:b/>
        </w:rPr>
        <w:t>E. 3</w:t>
      </w:r>
    </w:p>
    <w:p>
      <w:r>
        <w:t>ss.).</w:t>
      </w:r>
    </w:p>
    <w:p>
      <w:r>
        <w:t>Dalla denuncia penale emerge poi che gli studenti sarebbero stati più volte rassicurati in merito alla validità del titolo a livello Svizzero e a livello europeo, sia attraverso dei colloqui con gli organi di __________ Sagl, sia attraverso degli scambi di posta elettronica con gli stessi (doc. AA, AI 4).</w:t>
      </w:r>
    </w:p>
    <w:p>
      <w:r>
        <w:t>I reclamanti imputano, in sostanza, ai denunciati di aver ottenuto la loro iscrizione (con il conseguente pagamento delle rette) con linganno facendo loro credere, contrariamente al vero, che __________ Sagl era ununiversità svizzera e che al termine dei loro studi avrebbero ottenuto un titolo di valore universitario, valido in Svizzera e a livello europeo inducendoli così in errore. Sulla base di tale errore, gli studenti avrebbero pagato la retta, compiendo, così, un atto che potrebbe rivelarsi pregiudizievole al loro patrimonio. Tuttavia nessun accertamento è stato eseguito dal magistrato inquirente che non ha analizzato ed accertato quali garanzie e informazioni erano state date agli studenti, quali le prestazioni fornite dalla società e quali gli oneri economici previsti ed imposti agli studenti.Il procuratore pubblico ha unicamente negato che un eventuale inganno (di cui allart. 146 CP) potesse essere considerato astuto. Egli non si è soffermato sulle eventuali indicazioni e promesse che i qui reclamanti descrivono come credibili, fatte con modalità e inserite in un contesto che, a loro dire, non necessitava ulteriori verifiche. Le analogie con un precedente caso trattato dalla Corte di appello e di revisione penale (CARP) il 15.5.2019 e citato anche dal qui procuratore pubblico (inc. CARP __________) sono evidenti. Il magistrato inquirente avrebbe quindi dovuto aprire un nuovo incarto e valutare / accertare / approfondire il merito della denuncia per riprendere i termini impiegati nel precedente giudizio di questa Corte, noto al procuratore pubblico.</w:t>
      </w:r>
    </w:p>
    <w:p>
      <w:r>
        <w:t>Per questi motivi,</w:t>
      </w:r>
    </w:p>
    <w:p>
      <w:r>
        <w:t>richiamati gli art. 323, 379 ss. e 393 CPP, 1 ss. e 25 LTG ed ogni altra disposizione applicabile,</w:t>
      </w:r>
    </w:p>
    <w:p>
      <w:r>
        <w:t>Per la Corte dei reclami penali</w:t>
      </w:r>
    </w:p>
    <w:p>
      <w:r>
        <w:t>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