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60.2022.18 vom 1. April 2022</w:t>
      </w:r>
    </w:p>
    <w:p>
      <w:r>
        <w:t>TI Tribunale d'appello, 2022-04-01, IT</w:t>
      </w:r>
    </w:p>
    <w:p>
      <w:r>
        <w:rPr>
          <w:b/>
        </w:rPr>
        <w:t xml:space="preserve">Quelle: </w:t>
      </w:r>
      <w:r>
        <w:t>https://mcp.opencaselaw.ch/entscheid/ti_gerichte_60.2022.18</w:t>
      </w:r>
    </w:p>
    <w:p>
      <w:r>
        <w:t>FR: TI_GERICHTE 60.2022.18 du 1 avril 2022</w:t>
      </w:r>
    </w:p>
    <w:p>
      <w:r>
        <w:t>IT: TI_GERICHTE 60.2022.18 del 1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 il procuratore pubblico. Sulla base dei suggerimenti forniti da questultimo allistante le parti si sarebbero incontrate per trovare una soluzione:() ed è per questo che si ritiene che la PP __________ non possa più essere la persona incaricata di istruire la procedura a carico dellAvv. IS 1, in quanto la stessa è a conoscenza di fatti rilevanti di cui potrà riferire ()(10/11.2.2022, p. 5). Tuttavia non si comprende quali sarebbero stati() i fatti rilevantidi cui il magistrato inquirente potrebbe riferire; in effetti, sia nella sua istanza 13/14.1.2022, sia nella replica 10/11.2.2022, lavv. IS 1 formula delle critiche generiche, senza argomentare e dettagliare eventuali motivi tali da giustificare una ricusazione, che come si ricorda, interviene solo eccezionalmente.</w:t>
      </w:r>
    </w:p>
    <w:p>
      <w:r>
        <w:t>Peraltro si rileva che tali() fatti rilevantisarebbero stati a conoscenza del magistrato inquirente già al momento della denuncia 1.2.2018 introdotta dallo stesso avv. IS 1 per conto dei suoi clienti (inc. MP __________) e della susseguente controdenuncia 17.3.2018 di __________ ed __________ (inc. MP __________), ma listante, solo ora, confrontato con un suo possibile coinvolgimento in tali procedure penali, ne solleva lesistenza. Ciò potrebbe sembrare contrario al principio della buona fede.</w:t>
      </w:r>
    </w:p>
    <w:p>
      <w:r>
        <w:t>Per questi motivi,</w:t>
      </w:r>
    </w:p>
    <w:p>
      <w:r>
        <w:t>richiamati gli art. 56 ss. CPP, 1 ss. e 25 LTG ed ogni altra disposizione applicabile,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