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60.2021.315 vom 19. Juli 2022</w:t>
      </w:r>
    </w:p>
    <w:p>
      <w:r>
        <w:t>TI Tribunale d'appello, 2022-07-19, IT</w:t>
      </w:r>
    </w:p>
    <w:p>
      <w:r>
        <w:rPr>
          <w:b/>
        </w:rPr>
        <w:t xml:space="preserve">Quelle: </w:t>
      </w:r>
      <w:r>
        <w:t>https://mcp.opencaselaw.ch/entscheid/ti_gerichte_60.2021.315</w:t>
      </w:r>
    </w:p>
    <w:p>
      <w:r>
        <w:t>FR: TI_GERICHTE 60.2021.315 du 19 juillet 2022</w:t>
      </w:r>
    </w:p>
    <w:p>
      <w:r>
        <w:t>IT: TI_GERICHTE 60.2021.315 del 19 luglio 2022</w:t>
      </w:r>
    </w:p>
    <w:p>
      <w:pPr>
        <w:pStyle w:val="Heading2"/>
      </w:pPr>
      <w:r>
        <w:t>Erwägungen</w:t>
      </w:r>
    </w:p>
    <w:p>
      <w:r>
        <w:rPr>
          <w:b/>
        </w:rPr>
        <w:t>E. 2</w:t>
      </w:r>
    </w:p>
    <w:p>
      <w:r>
        <w:t>CPP, sia le comunioni ereditarie miste, sia quelle composta da soli eredi non congiunti giusta lart. 110 cpv. 1 CP. Così facendo anche gli eredi congiunti del de cuius avrebbero la possibilità di far valere le loro pretese civili nel caso in cui fossero membri di una comunione ereditaria mista. In caso contrario essi sarebbero obbligati a rivolgersi alle autorità civili in quanto litisconsorzio necessario.</w:t>
      </w:r>
    </w:p>
    <w:p>
      <w:r>
        <w:t>Pertanto questa Corte ritiene che, per applicazione analogica dell'art. 121 cpv. 2 CPP, gli eredi istituiti debbano essere legittimati ad agire soltanto civilmente e possano disporre unicamente dei diritti processuali concernenti direttamente lattuazione dellazione civile (R. WEILENMANN, Drittgeschädigte Personen im Strafverfahren, op. cit., n. 429).</w:t>
      </w:r>
    </w:p>
    <w:p>
      <w:r>
        <w:t>Per questi motivi,</w:t>
      </w:r>
    </w:p>
    <w:p>
      <w:r>
        <w:t>richiamati gli art. 80, 115, 118, 121, 379 ss. e 393 ss. CPP, 110 CP, 1 ss. e 25 LTG ed ogni altra disposizione applicabile,</w:t>
      </w:r>
    </w:p>
    <w:p>
      <w:r>
        <w:t>Per la Corte dei reclami penali</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