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60.2021.282 vom 30. August 2022</w:t>
      </w:r>
    </w:p>
    <w:p>
      <w:r>
        <w:t>TI Tribunale d'appello, 2022-08-30, IT</w:t>
      </w:r>
    </w:p>
    <w:p>
      <w:r>
        <w:rPr>
          <w:b/>
        </w:rPr>
        <w:t xml:space="preserve">Quelle: </w:t>
      </w:r>
      <w:r>
        <w:t>https://mcp.opencaselaw.ch/entscheid/ti_gerichte_60.2021.282</w:t>
      </w:r>
    </w:p>
    <w:p>
      <w:r>
        <w:t>FR: TI_GERICHTE 60.2021.282 du 30 août 2022</w:t>
      </w:r>
    </w:p>
    <w:p>
      <w:r>
        <w:t>IT: TI_GERICHTE 60.2021.282 del 30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non può dunque certamente servire a stabilire se questultima si trovasse alla stazione FFS di __________ quella sera, in assenza di materiale per effettuare una comparazione.</w:t>
      </w:r>
    </w:p>
    <w:p>
      <w:r>
        <w:t>Come ricordato in precedenza, dottrina e giurisprudenza consentono agli inquirenti la registrazione di rilevamenti segnaletici per permettere il riconoscimento di un individuo in caso di futuri reati, a condizione però che sussistano indizi rilevanti e concreti sulla possibile implicazione dellimputato in altri reati, anche futuri, di una certa gravità (sentenza TF 1B_171/2021 del 6.7.2021).</w:t>
      </w:r>
    </w:p>
    <w:p>
      <w:r>
        <w:t>Su questi presupposti la decisione impugnata è totalmente silente e neppure in sede di osservazioni il procuratore pubblico si è espresso in merito. Il rilevamento mediante fotografia del tatuaggio sulla spalla sinistra della reclamante e la presa delle sue impronte papillari, non si giustificano dunque neppure per questo motivo.</w:t>
      </w:r>
    </w:p>
    <w:p>
      <w:r>
        <w:t>Questa Corte non può pronunciarsi sulloperato della polizia cantonale in prima istanza essendo compito dapprima del Ministero pubblico che ha infatti deciso di non aprire listruzione nei confronti di ignoti agenti di polizia. Decreto di non luogo a procedere che non è poi stato impugnato dalla reclamante e che è pertanto è cresciuto in giudicato.</w:t>
      </w:r>
    </w:p>
    <w:p>
      <w:r>
        <w:t>richiamati gli art. 260 CP, 260, 304, 309 - 310, 322, 385 e 393 ss. CPP, 1 ss. e 25 LTG ed ogni altra disposizione applicabile,</w:t>
      </w:r>
    </w:p>
    <w:p>
      <w:r>
        <w:t>Per la Corte dei reclami penali</w:t>
      </w:r>
    </w:p>
    <w:p>
      <w:r>
        <w:t>Il presidente                                                         La cancelliera</w:t>
      </w:r>
    </w:p>
    <w:p>
      <w:r>
        <w:rPr>
          <w:b/>
        </w:rPr>
        <w:t>E. 4</w:t>
      </w:r>
    </w:p>
    <w:p>
      <w:r>
        <w:t>Intimazione : Per la Corte dei reclami penali Il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