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60.2017.23 vom 17. Mai 2017</w:t>
      </w:r>
    </w:p>
    <w:p>
      <w:r>
        <w:t>TI Tribunale d'appello, 2017-05-17, IT</w:t>
      </w:r>
    </w:p>
    <w:p>
      <w:r>
        <w:rPr>
          <w:b/>
        </w:rPr>
        <w:t xml:space="preserve">Quelle: </w:t>
      </w:r>
      <w:r>
        <w:t>https://mcp.opencaselaw.ch/entscheid/ti_gerichte_60.2017.23</w:t>
      </w:r>
    </w:p>
    <w:p>
      <w:r>
        <w:t>FR: TI_GERICHTE 60.2017.23 du 17 mai 2017</w:t>
      </w:r>
    </w:p>
    <w:p>
      <w:r>
        <w:t>IT: TI_GERICHTE 60.2017.23 del 17 maggio 2017</w:t>
      </w:r>
    </w:p>
    <w:p>
      <w:pPr>
        <w:pStyle w:val="Heading2"/>
      </w:pPr>
      <w:r>
        <w:t>Regeste</w:t>
      </w:r>
    </w:p>
    <w:p>
      <w:r>
        <w:t>Reclamo contro il decreto di tassazione intermedia della nota professionale, difensore d'ufficio</w:t>
      </w:r>
    </w:p>
    <w:p>
      <w:pPr>
        <w:pStyle w:val="Heading2"/>
      </w:pPr>
      <w:r>
        <w:t>Erwägungen</w:t>
      </w:r>
    </w:p>
    <w:p>
      <w:r>
        <w:rPr>
          <w:b/>
        </w:rPr>
        <w:t>E. 1.1</w:t>
      </w:r>
    </w:p>
    <w:p>
      <w:r>
        <w:t>Giusta l’art. 135 cpv. 3 lit. a CPP, in materia di retribuzione il difensore d'ufficio può interporre reclamo alla giurisdizione di reclamo contro la decisione del pubblico ministero o del tribunale di primo grado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sentenza TF 6B_69/2014 del 9.10.2014 consid. 2.4.).</w:t>
      </w:r>
    </w:p>
    <w:p>
      <w:r>
        <w:rPr>
          <w:b/>
        </w:rPr>
        <w:t>E. 1.2</w:t>
      </w:r>
    </w:p>
    <w:p>
      <w:r>
        <w:t>Il gravame, inoltrato il 24/25.1.2017 alla Corte dei reclami penali, competente ex art. 62 cpv. 2 LOG e relativo alla retribuzione del difensore d’ufficio, è tempestivo e, di principio, proponibile giusta l’art. 135 cpv. 2 CPP, in quanto censura il decreto 17.1.2017 che stabilisce l’importo della retribuzione. Le esigenze di forma e di motivazione sono rispettate . L’avv. RE 1 , difensore d’ufficio destinatario del decreto di tassazione della propria nota professionale intermedia del 2.1.2017, è pacificamente legittimato a reclamare ex art. 382 cpv. 1 CPP avendo un interesse giuridicamente protetto all’annullamento o alla modifica del giudizio, che ha ridotto la suddetta nota . Il reclamo è – di conseguenza – ricevibile in ordine .</w:t>
      </w:r>
    </w:p>
    <w:p>
      <w:r>
        <w:rPr>
          <w:b/>
        </w:rPr>
        <w:t>E. 2.1</w:t>
      </w:r>
    </w:p>
    <w:p>
      <w:r>
        <w:t>Giusta l’art. 135 cpv. 1 CPP il difensore d’ufficio è retribuito secondo la tariffa d’avvocatura della Confederazione o del Cantone – con i quali esiste, dopo la sua nomina, un particolare rapporto giuridico, sulla base del quale il legale ha un credito di diritto pubblico (sentenza TF 6B_730/2014 del 2.3.2015 consid. 3.1.) – in cui si svolge il procedimento penale a carico del patrocinato. Al caso concreto è pertanto applicabile il regolamento sulla tariffa per i casi di patrocinio d’ufficio e di assistenza giudiziaria e per la fissazione delle ripetibili (Rtar), in vigore dall’1.1.2008.</w:t>
      </w:r>
    </w:p>
    <w:p>
      <w:r>
        <w:rPr>
          <w:b/>
        </w:rPr>
        <w:t>E. 2.2</w:t>
      </w:r>
    </w:p>
    <w:p>
      <w:r>
        <w:t>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I – N. RUCKSTUHL, 2. ed., art. 135 CPP n. 3; ZK StPO – V. LIEBER, 2. ed., art. 135 CPP n. 3/6; StPO PK – N. SCHMID, 2. ed., art. 135 CPP n. 3; Commentario CPP – M. GALLIANI / L. MARCELLINI, art. 135 CPP n. 4): deve essere indennizzato l’onorario proporzionale e necessario, che è in nesso causale con la tutela dei diritti del difeso (BSK StPO I – N. RUCKSTUHL, op. cit., art. 135 CPP n. 3; ZK StPO – V. LIEBER, op. cit., art. 135 CPP n. 6). L’onorario dell’avvocato è calcolato secondo il tempo di lavoro sulla base della tariffa di CHF 180.--/ora (art. 4 cpv. 1 Rtar).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3.1</w:t>
      </w:r>
    </w:p>
    <w:p>
      <w:r>
        <w:t>Come visto, i l procuratore pubblico ha approvato la nota professionale intermedia 2.1.2017 dell 'avv. RE 1, di complessivi CHF 6'085.80 (onorario, spese e IVA), per l'importo di CHF 1'871.10, ritenendo eccessivi i 1245 minuti (20 ore e 45 minuti), relativi al “ riesame incarto ” effettuati il 19/20/21/24 e 25 ottobre 2016 e riconoscendo unicamente 60 minuti per tale prestazione. Il reclamante ha contestato tali conclusioni affermando che, per una difesa efficace di PI 1, sarebbe stato indispensabile esaminare gli atti istruttori esperiti prima della sua nomina a difensore d’ufficio dello stesso, in particolare 38 verbali di interrogatorio.</w:t>
      </w:r>
    </w:p>
    <w:p>
      <w:r>
        <w:rPr>
          <w:b/>
        </w:rPr>
        <w:t>E. 3.2</w:t>
      </w:r>
    </w:p>
    <w:p>
      <w:r>
        <w:t>In sede di osservazioni al gravame il procuratore pubblico ha rilevato che “ vi era già stata una prima tassazione intermedia il 16 settembre 2016, successiva al cambio di posizione processuale la quale già comprendeva ore di visione ed esame atti come esposto nella nota prodotta (cfr. AI 532) ” [osservazioni 8.2.2017].</w:t>
      </w:r>
    </w:p>
    <w:p>
      <w:r>
        <w:rPr>
          <w:b/>
        </w:rPr>
        <w:t>E. 3.3</w:t>
      </w:r>
    </w:p>
    <w:p>
      <w:r>
        <w:t>Ora, dagli atti dell’incarto penale, come esposto in fatto, risulta che una prima nota professionale intermedia, è stata tassata dal procuratore pubblico con decreto 16.9.2016 (AI 532). Dalla suddetta nota e dal relativo decreto di tassazione si evince tuttavia, come rettamente affermato dal reclamante in sede di replica 20.2.2017, che le poste indicate in relazione al “ riesame incarto ” per complessive 6 ore (il 7.7.2016 per 4 ore e 30 minuti ed il 30.8.2016 per 1 ora e 30 minuti), “ sono state dimezzate dal Magistrato inquirente e sono state ammesse unicamente in misura di 3 ore (...) da suddividersi tra il 7 luglio 2016 (...) e il 30 agosto 2017 (recte: 2016)” (replica 20.2.2017, p. 1-2).</w:t>
      </w:r>
    </w:p>
    <w:p>
      <w:r>
        <w:rPr>
          <w:b/>
        </w:rPr>
        <w:t>E. 3.4</w:t>
      </w:r>
    </w:p>
    <w:p>
      <w:r>
        <w:t>Ora, alla luce di quanto sopra e delle motivazioni addotte nel gravame che qui ci occupa e nell’allegato di replica, questa Corte ritiene adeguato riconoscere all’avv. RE 1 complessive 10 ore relative alle prestazioni indicate come “ riesame incarto ” effettuate il 19/20/21/24 e 25 ottobre 2016 di cui alla nota professionale in esame, in luogo delle 20 ore e 45 minuti richieste. Le tre ore di onorario riconosciute nell’ambito della tassazione della prima nota professionale intermedia (cfr. AI 532) non appaiono sufficienti per prendere visione e valutare l’intero incarto, in particolare i 38 verbali di interrogatorio esperiti (per un totale di quasi 400 pagine oltre i relativi allegati) prima della nomina del qui reclamante a difensore d’ufficio.</w:t>
      </w:r>
    </w:p>
    <w:p>
      <w:r>
        <w:rPr>
          <w:b/>
        </w:rPr>
        <w:t>E. 4</w:t>
      </w:r>
    </w:p>
    <w:p>
      <w:r>
        <w:t>Di conseguenza, all’avv. RE 1 è riconosciuto un onorario pari a 17 h e 45 minuti, per un totale di CHF 3’195.--. Ad esso vanno aggiunte le spese per complessivi CHF 505.-- e l’IVA di CHF 296.--. La nota professionale 2.1.2017 dell’avv. RE 1 è approvata per complessivi CHF 3'996.--.</w:t>
      </w:r>
    </w:p>
    <w:p>
      <w:r>
        <w:rPr>
          <w:b/>
        </w:rPr>
        <w:t>E. 5</w:t>
      </w:r>
    </w:p>
    <w:p>
      <w:r>
        <w:t>Il gravame è parzialmente accolto ai sensi dei considerandi. La tassa di giustizia e le spese seguono la soccombenza: sono accollate per una metà al reclamante e per l ' altra metà allo Stato, che rifonderà all’avv. RE 1 CHF 450.-- a titolo di ripetibili. Per questi motivi, richiamati gli art. 135, 379 ss. e 393 ss. CPP, 1 ss. e 25 LTG, Rtar ed ogni altra disposizione applicabile, pronuncia 1. Il reclamo è parzialmente accolto. §    La nota professionale 2.1.2017 emessa dall’avv. RE 1 è approvata per complessivi CHF 3'996.--. 2.   La tassa di giustizia di CHF 800.-- e le spese di CHF 100.--, per complessivi CHF 900.-- (novecento), sono poste per un mezzo a carico dell’avv. RE 1, __________, e sono compensate con l’importo di CHF 450.-- riconosciutogli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