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60.2017.173 vom 2. November 2017</w:t>
      </w:r>
    </w:p>
    <w:p>
      <w:r>
        <w:t>TI Tribunale d'appello, 2017-11-02, IT</w:t>
      </w:r>
    </w:p>
    <w:p>
      <w:r>
        <w:rPr>
          <w:b/>
        </w:rPr>
        <w:t xml:space="preserve">Quelle: </w:t>
      </w:r>
      <w:r>
        <w:t>https://mcp.opencaselaw.ch/entscheid/ti_gerichte_60.2017.173</w:t>
      </w:r>
    </w:p>
    <w:p>
      <w:r>
        <w:t>FR: TI_GERICHTE 60.2017.173 du 2 novembre 2017</w:t>
      </w:r>
    </w:p>
    <w:p>
      <w:r>
        <w:t>IT: TI_GERICHTE 60.2017.173 del 2 novembre 2017</w:t>
      </w:r>
    </w:p>
    <w:p>
      <w:pPr>
        <w:pStyle w:val="Heading2"/>
      </w:pPr>
      <w:r>
        <w:t>Erwägungen</w:t>
      </w:r>
    </w:p>
    <w:p>
      <w:r>
        <w:rPr>
          <w:b/>
        </w:rPr>
        <w:t>E. 1</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Il gravame, presentato in data 17/18.7.2017 da RE 1 e dalla RE 2 contro l’ordine di perquisizione e sequestro 5.7.2017 dell’Autorità di vigilanza sull’esercizio delle professioni di fiduciario, è tempestivo (perché introdotto nel termine di dieci giorni in applicazione dell’art. 396 cpv. 1 CPP) e anche proponibile (secondo l’art. 393 cpv. 1 lit. a CPP) [BSK StPO – F. BOMMER / P. GOLDSCHMID, 2. ed., art. 263 CPP n. 68; BSK StPO – P. GUIDON, op. cit., art. 393 CPP n. 10; ZK StPO – S. HEIMGARTNER, 2. ed., art. 263 CPP n. 27; ZK StPO – A.J. KELLER, op. cit., art. 393 CPP n. 15]. RE 1, quale imputata nel procedimento e titolare del proprio domicilio, e RE 2, detentrice della documentazione oggetto di perquisizione e sequestro, sono legittimate a reclamare giusta l’art. 382 cpv. 1 CPP avendo un interesse giuridicamente protetto a censurare la carente motivazione e quindi la violazione di diritti procedurali dell’ordine 5.7.2017 che le concerne personalmente (decisione TF 6B_151/2016 dell’1.6.2016 consid. 1.2.; cfr. DTF 141 IV 1). Le esigenze di forma e motivazione del reclamo sono rispettate. L’impugnativa è, in queste circostanze, ricevibile in ordine.</w:t>
      </w:r>
    </w:p>
    <w:p>
      <w:r>
        <w:rPr>
          <w:b/>
        </w:rPr>
        <w:t>E. 3.1</w:t>
      </w:r>
    </w:p>
    <w:p>
      <w:r>
        <w:t>Giusta l’art. 246 CPP carte, registrazioni su supporto visivo o sonoro e altre registrazioni, supporti di dati nonché apparecchi destinati all’elaborazione e all’archiviazione di informazioni possono essere perquisiti qualora si debba presumere che contengano informazioni soggette a sequestro. Sono considerate carte o registrazioni, secondo il messaggio, tutte le informazioni su carta, su supporto visivo o sonoro o su un altro supporto di dati, in particolare quelle salvate in apparecchi per il trattamento o l’immagazzinamento di dati (messaggio 21.12.2005 concernente l’unificazione del diritto processuale penale, in FF 2006 p. 1141).</w:t>
      </w:r>
    </w:p>
    <w:p>
      <w:r>
        <w:rPr>
          <w:b/>
        </w:rPr>
        <w:t>E. 3.2</w:t>
      </w:r>
    </w:p>
    <w:p>
      <w:r>
        <w:t>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1B_1/2015 del 19.3.2015 consid. 3.1.; ZK StPO – S. HEIMGARTNER, op. cit., art. 263 CPP n. 15 ss.]. Il sequestro (quale misura coercitiva che restringe la garanzia della proprietà ex art. 26 Cost.) è legittimo – secondo l’art. 197 CPP – solo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 1B_459/2016 del 9.1.2017 consid. 2.; decisione TPF BB.2016.335-336 dell’8.2.2017 consid. 3.1.; BSK StPO – F. BOMMER / P. GOLDSCHMID, op. cit., vor art. 263-268 CPP n. 11 ss.).</w:t>
      </w:r>
    </w:p>
    <w:p>
      <w:r>
        <w:rPr>
          <w:b/>
        </w:rPr>
        <w:t>E. 4.1</w:t>
      </w:r>
    </w:p>
    <w:p>
      <w:r>
        <w:t>RE 1 e RE 2 censurano dapprima una carenza di motivazione dell’ordine.</w:t>
      </w:r>
    </w:p>
    <w:p>
      <w:r>
        <w:rPr>
          <w:b/>
        </w:rPr>
        <w:t>E. 4.2</w:t>
      </w:r>
    </w:p>
    <w:p>
      <w:r>
        <w:t>Il diritto di essere sentito ex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 comprende, oltre alla facoltà di esprimersi prima che una decisione sia presa, di fornire prove sui fatti rilevanti per il giudizio, di farsi rappresentare o assistere e, ancora,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6B_697/2017 del 9.8.2017 consid. 3.1.; ZK StPO – D. BRÜSCHWEILER, op. cit., art. 80 CPP n. 2). Questi principi devono essere ossequiati anche in relazione alla motivazione di un ordine di perquisizione/sequestro (Commentario CPP – E. MELI, art. 263 CPP n. 6), sebbene l’art. 263 cpv. 2 prima frase CPP esiga una motivazione soltanto succinta . La motivazione (pur tenendo conto che all’inizio di un procedimento – l’inchiesta dovendo ancora svilupparsi – non si può esigere che il magistrato inquirente conosca già tutti i dettagli) deve comunque esprimersi sugli elementi essenziali per il controllo della legalità della misura: l’ordine deve indicare gli indizi di reato a carico dell’imputato, la connessione tra il reato ipotizzato e l’oggetto del sequestro in relazione alle necessità (o funzioni) probatorie e/o di confisca (Commentario CPP – E. MELI, art. 263 CPP n. 7) e gli elementi comprovanti la sua proporzionalità.</w:t>
      </w:r>
    </w:p>
    <w:p>
      <w:r>
        <w:rPr>
          <w:b/>
        </w:rPr>
        <w:t>E. 4.3</w:t>
      </w:r>
    </w:p>
    <w:p>
      <w:r>
        <w:t>Il primo presupposto per ordinare la perquisizione ed il sequestro (e poi mantenere nel seguito quanto eventualmente sequestrato) – in merito alle finalità di cui all’art. 263 cpv. 1 CPP – è l’esistenza di sufficienti indizi di reato giusta l’art. 197 cpv. 1 lit. b CPP: il sospetto di reato deve evincersi da fatti concreti, che permettano una provvisoria sussunzione ad un determinato reato; mere supposizioni e congetture non fondano sufficiente sospetto (decisione TF 1B_516/2011 del 17.11.2011 consid. 2.1.; cfr. pure decisione TF 1B_109/2016 del 12.10.2016 consid. 4.2.). La decisione concernente la perquisizione e il sequestro deve pertanto indicare sufficienti indizi dei reati ipotizzati nell’ordine.</w:t>
      </w:r>
    </w:p>
    <w:p>
      <w:r>
        <w:rPr>
          <w:b/>
        </w:rPr>
        <w:t>E. 4.4</w:t>
      </w:r>
    </w:p>
    <w:p>
      <w:r>
        <w:t>L’Autorità di vigilanza sull’esercizio delle professioni di fiduciario, nell’ordine di perquisizione e sequestro del 5.7.2017, ha riportato il nome dell’imputata e l’ipotesi accusatoria “(…) in relazione a fatti avvenuti almeno da dicembre 2013 a __________, __________ e altre ignote località del Cantone Ticino (…)” (ordine di perquisizione e sequestro 5.7.2017, p. 1). Ha di conseguenza ordinato la perquisizione domiciliare presso la sede di RE 2 e presso il domicilio dell’imputata, la perquisizione di carte e registrazioni (in particolare di computer, laptop ed altri apparecchi di stoccaggio di dati), ed il sequestro di tutta la documentazione rinvenuta “(…) che possa avere importanza per l’istruzione del procedimento, come mezzo di prova (…), in particolare il sequestro di: a. contratti di mandato e di incarico stipulati a beneficio di persone fisiche e giuridiche terze (…); b. altri atti attestanti dello svolgimento delle attività di cui al pto. a. (…); c. documentazione di RE 2 dalla quale si evincano i ricavi delle attività di cui al pto. a. (…)” (ordine di perquisizione e sequestro 5.7.2017, p. 2). Come già sopraindicato il primo presupposto per ordinare, e poi mantenere, il sequestro è l’esistenza di sufficienti indizi di reato. Nel caso in esame l’Autorità di vigilanza sull’esercizio delle professioni di fiduciario non ha invero in nessun modo spiegato, in ossequio al diritto di essere sentito secondo gli art. 3 cpv. 2 lit. c CPP e 29 cpv. 2 Cost., quali fossero gli indizi di reato a carico dell’imputata. L’Autorità avrebbe dovuto, almeno succintamente ed in grandi linee, spiegare i fatti all’origine del procedimento penale e la connessione tra il reato ipotizzato (esercizio abusivo della professione di fiduciario) e l’oggetto del sequestro in relazione alle necessità probatorie. L’Autorità si è limitata, per contro, a far riferimento a “(…) fatti avvenuti da dicembre 2013 (…)” in diverse località del Ticino senza, in alcun modo, precisare gli indizi di reato a carico di RE 1. L’ordine di perquisizione e sequestro 5.7.2017 non può dunque essere tutelato.</w:t>
      </w:r>
    </w:p>
    <w:p>
      <w:r>
        <w:rPr>
          <w:b/>
        </w:rPr>
        <w:t>E. 5</w:t>
      </w:r>
    </w:p>
    <w:p>
      <w:r>
        <w:t>Il gravame è accolto. L’Autorità di vigilanza sull’esercizio delle professioni di fiduciario dovrà, o procedere con il dissequestro della documentazione rinvenuta a seguito delle perquisizioni domiciliari e di carte e registrazioni, o, al più presto, motivare sufficientemente l’ordine di perquisizione e sequestro. Non si assegnano tassa di giustizia e spese. Le ripetibili a favore della reclamante sono poste a carico dello Stato. Per questi motivi, richiamati gli art. 263 ss., 379 ss. e 393 ss. CPP, 70 e 71 CP, LFid ed ogni altra disposizione applicabile, pronuncia 1.   Il reclamo è accolto ai sensi dei considerandi. 2.   Non si prelevano tassa di giustizia e spese. Lo Stato della Repubblica e del Cantone Ticino verserà a RE 1,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