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60.2016.149 vom 5. Juli 2016</w:t>
      </w:r>
    </w:p>
    <w:p>
      <w:r>
        <w:t>TI Tribunale d'appello, 2016-07-05, IT</w:t>
      </w:r>
    </w:p>
    <w:p>
      <w:r>
        <w:rPr>
          <w:b/>
        </w:rPr>
        <w:t xml:space="preserve">Quelle: </w:t>
      </w:r>
      <w:r>
        <w:t>https://mcp.opencaselaw.ch/entscheid/ti_gerichte_60.2016.149</w:t>
      </w:r>
    </w:p>
    <w:p>
      <w:r>
        <w:t>FR: TI_GERICHTE 60.2016.149 du 5 juillet 2016</w:t>
      </w:r>
    </w:p>
    <w:p>
      <w:r>
        <w:t>IT: TI_GERICHTE 60.2016.149 del 5 luglio 2016</w:t>
      </w:r>
    </w:p>
    <w:p>
      <w:pPr>
        <w:pStyle w:val="Heading2"/>
      </w:pPr>
      <w:r>
        <w:t>Regeste</w:t>
      </w:r>
    </w:p>
    <w:p>
      <w:r>
        <w:t>Reclamo contro la decisione del GPC di collocamento iniziale in sezione chiusa. Pericolo di fuga: straniero, latitante, con precedenti penali colpito da un divieto d'entrata per tempo indeterminato, senza legami rilevanti con la Svizzera</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In precedenza, lart. 397bis cpv. 3 vCP prevedeva che, il Consiglio federale, su proposta dellautorità cantonale competente, poteva emanare disposizioni speciali circa la separazione degli stabilimenti del Cantone Ticino.</w:t>
      </w:r>
    </w:p>
    <w:p>
      <w:r>
        <w:t>Una simile norma non è stata adottata nella revisione della parte generale del Codice penale entrata in vigore l1.1.2007.</w:t>
      </w:r>
    </w:p>
    <w:p>
      <w:r>
        <w:t>Pure è stata abbandonata la distinzione, posta dal precedente art. 37 cifra 2 vCP, tra stabilimenti per condannati primari e quelli per recidivi, per cui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I−B. F. BRÄGGER,3a. ed., art. 76 CP n. 2).</w:t>
      </w:r>
    </w:p>
    <w:p>
      <w:r>
        <w:t>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w:t>
      </w:r>
    </w:p>
    <w:p>
      <w:r>
        <w:t>Per questi motivi,</w:t>
      </w:r>
    </w:p>
    <w:p>
      <w:r>
        <w:t>richiamati gli art. 379 ss., 393 ss., 439 cpv. 1 CPP, 76, 377 CP la LEPM, il REPM, il Regolamento delle strutture carcerarie del Cantone Ticino del 15.12.2010, lart. 25 LTG ed ogni altra disposizione applicabile,</w:t>
      </w:r>
    </w:p>
    <w:p>
      <w:r>
        <w:t>-</w:t>
      </w:r>
    </w:p>
    <w:p>
      <w:r>
        <w:t>Per la Corte dei reclami penali</w:t>
      </w:r>
    </w:p>
    <w:p>
      <w:r>
        <w:t>Il presidente                                                          La cancelliera</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20.04.2010 la Legge sull'esecuzione delle pene e delle misure per gli adulti (LEPM), entrata in vigore l'1.01.2011. L'art. 10 cpv. 1 lit. h di detta legge conferisce al giudice dell'applicazione della pena − funzione questa attribuita in Ticino dall'1.01.2011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datato 22.05.2016, consegnato alla Messaggeria del Palazzo di giustizia di Lugano il 25.05.2016 (e giunto a questa Corte il 27.05.2016), contro la decisione 17.05.2016 del giudice dei provvedimenti coercitivi notificata al qui reclamante il 18.05.2016, è tempestivo. Le esigenze di forma e di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 In precedenza, l’art. 397bis cpv. 3 vCP prevedeva che, il Consiglio federale, su proposta dell’autorità cantonale competente, poteva emanare disposizioni speciali circa la separazione degli stabilimenti del Cantone Ticino. Una simile norma non è stata adottata nella revisione della parte generale del Codice penale entrata in vigore l’1.1.2007. Pure è stata abbandonata la distinzione, posta dal precedente art. 37 cifra 2 vCP, tra stabilimenti per condannati primari e quelli per recidivi, per cui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 − B. F. BRÄGGER, 3a. ed. , art. 76 CP n. 2). A livello cantonale − oltre l’applicazione del Concordato sull’esecuzione delle pene privative di libertà e delle misure concernenti gli adulti e i giovani adulti nei cantoni latini del 10.4.2006 (Concordato latino sulla detenzione penale degli adulti) − l'art. 19 del Regolamento sull'esecuzione delle pene e delle misure per gli adulti del 6.3.2007 (REPM, in vigore dal 9.3.2007), relativo al regime ordinario,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op. cit. , art. 76 CP n. 8). 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3</w:t>
      </w:r>
    </w:p>
    <w:p>
      <w:r>
        <w:t>del Regolamento delle strutture carcerarie del Cantone Ticino del 15.12.2010, in vigore dall'1.1.2011,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“Naravazz”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Nel caso in esame il giudice dei provvedimenti coercitivi ha ordinato il collocamento in sezione chiusa, considerato che il qui reclamante, cittadino straniero, è colpito da un divieto d’entrata per tempo indeterminato, notificatogli il 20.07.2011. Il reclamante in sintesi esclude di volersi dare alla fuga, qualora fosse posto in sezione aperta, non avendo alcuna intenzione di far rientro al proprio paese d’origine, dove, a suo dire, la sua vita sarebbe in pericolo, e non volendo apparire quale fuggitivo agli occhi del figlio minorenne. Evidenzia inoltre come i fatti per i quali egli si trova ora in espiazione di pena risalgono a 6 anni fa e riguardano delitti da lui giudicati non gravi.</w:t>
      </w:r>
    </w:p>
    <w:p>
      <w:r>
        <w:rPr>
          <w:b/>
        </w:rPr>
        <w:t>E. 3.2</w:t>
      </w:r>
    </w:p>
    <w:p>
      <w:r>
        <w:t>Dagli atti emerge che RE 1 è cittadino dominicano. Per i primi tre anni egli avrebbe vissuto a __________ (Repubblica dominicana) poi, seguendo la madre, di professione ballerina, si sarebbe stabilito in __________, dove avrebbe frequentato gli anni della scolarità obbligatoria. Nel seguito, sempre con la madre, sarebbe venuto in Ticino, dove non avrebbe concluso alcun apprendistato e avrebbe svolto alcuni lavori saltuari. Successivamente, poco meno che ventenne, egli, proveniente dalla __________, è ritornato nel nostro paese dove nel giugno 2005 è stato arrestato una prima volta, siccome coinvolto in un traffico illecito di cocaina. Traffico questo per il quale egli è stato condannato il 17.01.2006 dalla Corte delle assise correzionali a 18 mesi di detenzione, sospesi condizionalmente. Nell’ambito delle inchieste denominate __________ e __________ tendenti a sventare altri commerci illeciti di stupefacenti e svolte nel 2007 (allorquando il qui reclamante risultava essere d’ignota dimora) è nuovamente emerso il suo coinvolgimento in traffici risalenti all’estate del 2006 (rapporto di segnalazione 21.06.2007, inc. MP __________). Nel seguito egli è incappato nelle condanne del 15.04.2010 della Pretura penale (pena detentiva di 30 giorni), del 6.09.2010 (pena detentiva di 60 giorni) e del 13.07.2011 (pena detentiva di 90 giorni) del Ministero pubblico, in buona sostanza per reati inerenti la legislazione sugli stranieri e la circolazione stradale, oltre la ricettazione. Subito dopo egli si è reso latitante, sottraendosi all’esecuzione dell’ultima pena detentiva inflittagli, così che nei suoi confronti il giudice dei provvedimenti coercitivi ha dovuto emettere un ordine di ricerca e di arresto. Soltanto il 13.05.2016, grazie ad un controllo di polizia egli, ritrovandosi nuovamente illegalmente sul nostro territorio, è stato tratto in arresto dagli inquirenti ed incarcerato, al fine di scontare la pena detentiva pendente. Orbene, a RE 1, ormai trentenne, colpito da un divieto d’entrata per tempo indeterminato notificatogli ancora il 20.07.2011 (documento in atti e da lui controfimato), è preclusa qualsiasi possibilità d’inserimento sociale e professionale nel nostro paese. Egli mai potrà svolgere in Svizzera una qualsiasi attività lavorativa onde sostentarsi, né mai potrà stabilirsi lecitamente sul nostro territorio, dove egli ha ripetutamente delinquito. A ciò nulla muta l’asserita presenza di una nuova compagna, pure di origine dominicana, e di un figlio minorenne, di cui non si conoscono comunque migliori ragguagli, con i quali è ad ogni modo esclusa qualsiasi possibilità per una convivenza sul nostro territorio. Egli peraltro, come dichiarato davanti al magistrato inquirente nell’aprile 2011, ha avuto in precedenza due altre compagne, che lo hanno reso padre di due bambine − a tutt’oggi minorenni − , che risiedevano, all’epoca, l’una in __________ (__________), suo ultimo paese di residenza, e l’altra in __________ (__________), suo paese di domicilio. Egli dimostra di avere legami più importanti con l’estero anziché con il nostro paese, dove vanta solamente un debito con la giustizia. In tali circostanze il rischio che RE 1, qualora posto in regime aperto, possa sottrarsi all’esecuzione del resto di pena, dandosi alla fuga e rendendosi irreperibile, è altamente probabile. D’altronde è ciò che è già avvenuto in passato i ben due occasioni. Ancora al momento del suo arresto nel maggio 2016 egli ha dimostrato disprezzo verso i provvedimenti presi nei suoi confronti, ritornando a soggiornare illecitamente sul nostro territorio e arrivando a munirsi di documenti con altre generalità (di cui è stato trovato in possesso all’atto del suo arresto), per non dover saldare il suo debito ancora aperto con la giustizia elvetica. Di conseguenza, visto tutto quanto sopra, la decisione del giudice dei provvedimenti coercitivi merita di essere tutelata.</w:t>
      </w:r>
    </w:p>
    <w:p>
      <w:r>
        <w:rPr>
          <w:b/>
        </w:rPr>
        <w:t>E. 4</w:t>
      </w:r>
    </w:p>
    <w:p>
      <w:r>
        <w:t>Il reclamo è respinto. Tassa di giustizia e spese, contenute al minimo per tenere conto della difficile situazione finanziaria del qui reclamante, sono poste a carico di quest’ultimo, soccombente. Per questi motivi, richiamati gli art. 379 ss., 393 ss., 439 cpv. 1 CPP, 76, 377 CP la LEPM, il REPM, il Regolamento delle strutture carcerarie del Cantone Ticino del 15.12.2010, l’art. 25 LTG ed ogni altra disposizione applicabile, pronuncia 1.   Il reclamo è respinto. 2.   La tassa di giustizia di CHF 100.-- e le spese di CHF 50.--, per complessivi CHF 150.-- (centocinquanta), sono poste a carico di RE 1, attualmente c/o Strutture carcerarie, Lugano.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