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60.2014.298 vom 25. September 2014</w:t>
      </w:r>
    </w:p>
    <w:p>
      <w:r>
        <w:t>TI Tribunale d'appello, 2014-09-25, IT</w:t>
      </w:r>
    </w:p>
    <w:p>
      <w:r>
        <w:rPr>
          <w:b/>
        </w:rPr>
        <w:t xml:space="preserve">Quelle: </w:t>
      </w:r>
      <w:r>
        <w:t>https://mcp.opencaselaw.ch/entscheid/ti_gerichte_60.2014.298</w:t>
      </w:r>
    </w:p>
    <w:p>
      <w:r>
        <w:t>FR: TI_GERICHTE 60.2014.298 du 25 septembre 2014</w:t>
      </w:r>
    </w:p>
    <w:p>
      <w:r>
        <w:t>IT: TI_GERICHTE 60.2014.298 del 25 settembre 2014</w:t>
      </w:r>
    </w:p>
    <w:p>
      <w:pPr>
        <w:pStyle w:val="Heading2"/>
      </w:pPr>
      <w:r>
        <w:t>Regeste</w:t>
      </w:r>
    </w:p>
    <w:p>
      <w:r>
        <w:t>Reclamo del condannato contro la decisione del giudice dell'applicazione della pena in materia di liberazione condizionale</w:t>
      </w:r>
    </w:p>
    <w:p>
      <w:pPr>
        <w:pStyle w:val="Heading2"/>
      </w:pPr>
      <w:r>
        <w:t>Erwägungen</w:t>
      </w:r>
    </w:p>
    <w:p>
      <w:r>
        <w:rPr>
          <w:b/>
        </w:rPr>
        <w:t>E. 1</w:t>
      </w:r>
    </w:p>
    <w:p>
      <w:r>
        <w:t>, quale destinatario della decisione impugnata, è pacificamente legittimato a reclamare ex art. 382 cpv. 1 CPP avendo un interesse giuridicamente protetto all’annullamento o alla modifica del giudizio. Il reclamo è, di conseguenza, ricevibile in ordine.</w:t>
      </w:r>
    </w:p>
    <w:p>
      <w:r>
        <w:rPr>
          <w:b/>
        </w:rPr>
        <w:t>E. 1.2</w:t>
      </w:r>
    </w:p>
    <w:p>
      <w:r>
        <w:t>Inoltrato il 4/5.9.2014 alla Corte dei reclami penali, competente ex art. 62 cpv. 2 LOG, contro la decisione 26.8.2014 del giudice dei provvedimenti coercitivi (inc. GPC __________), il gravame è tempestivo, oltre che proponibile giusta l’art. 12 cpv. 1 lit. b LEPM. Le esigenze di forma e di motivazione sono rispettate. RE</w:t>
      </w:r>
    </w:p>
    <w:p>
      <w:r>
        <w:rPr>
          <w:b/>
        </w:rPr>
        <w:t>E. 2</w:t>
      </w:r>
    </w:p>
    <w:p>
      <w:r>
        <w:t>.</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Schweizerisches Strafgesetzbuch, Praxiskommentar – S. TRECHSEL, art. 86 CP n. 12; Commentaire romand, Code pénal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Commentaire romand, Code pénal I – A. KUHN, art. 86 CP n. 2). L’adempimento delle condizioni per la sua concessione deve essere esaminato d’ufficio dalla competente autorità, che chiede a tal fine una relazione alla direzione del penitenziario (art. 86 cpv. 2 CP).</w:t>
      </w:r>
    </w:p>
    <w:p>
      <w:r>
        <w:rPr>
          <w:b/>
        </w:rPr>
        <w:t>E. 2.3</w:t>
      </w:r>
    </w:p>
    <w:p>
      <w:r>
        <w:t>Dal punto di vista sostanziale, l'art. 86 cpv. 1-3 CP non si differenzia molto dal precedente art. 38 vCP (rimasto in vigore sino al 31.12.2006): in tal senso si esprime il Messaggio del CF del 21.9.1998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(decisione TF 6B_900/2010 del 20.12.2010;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(decisione TF 6B_428/2009 del 9.07.2009; DTF 133 IV 201). 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del TF 6B_206/2011 del 5.07.2011, consid. 1.4., 6B_714/2010 del 4.01.2011 consid. 2.4. e 6B_428/2009 del 9.07.2009 consid. 1.1.; DTF 133 IV 201 consid. 2.3.; 124 IV 193 consid. 3). Al riguardo, di fronte a pene privative della libertà di durata limitata, va esaminata la pericolosità dell'agente, se questa diminuirà, rimarrà invariata o aumenterà nel caso in cui la pena fosse interamente scontata e quindi se la liberazione condizionale, eventualmente accompagnata da regole di condotta e da un patronato, non sia più favorevole alla sua risocializzazione che non l'esecuzione completa della pena (DTF 124 IV 193 consid. 4).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il 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w:t>
      </w:r>
    </w:p>
    <w:p>
      <w:r>
        <w:t>.   3.1. Nel presente caso, è pacificamente ammesso e accertato che il reclamante abbia scontato 2/3 della pena che gli è stata inflitta, e questo ancora prima della crescita in giudicato della sentenza di appello.</w:t>
      </w:r>
    </w:p>
    <w:p>
      <w:r>
        <w:rPr>
          <w:b/>
        </w:rPr>
        <w:t>E. 3.2</w:t>
      </w:r>
    </w:p>
    <w:p>
      <w:r>
        <w:t>Sulla condotta tenuta durante l'esecuzione della pena, dagli atti risulta globalmente un comportamento positivo, eccettuata unicamente una sanzione disciplinare in data 24.5.2013: gli stessi fatti sono poi divenuti oggetto del punto 4 dell’ACC __________, con l’imputazione di contravvenzione alla LStup. L’ammonimento, oggetto di valutazione diversa tra le parti, non risulta in ogni modo determinante per la decisione di mancata concessione della liberazione condizionale.</w:t>
      </w:r>
    </w:p>
    <w:p>
      <w:r>
        <w:rPr>
          <w:b/>
        </w:rPr>
        <w:t>E. 3.3</w:t>
      </w:r>
    </w:p>
    <w:p>
      <w:r>
        <w:t>Per quanto riguarda la prognosi, le posizioni delle parti divergono diametralmente. Per il giudice è dato un pericolo di recidiva, ciò che ha condotto alla formulazione di una prognosi negativa. Per il reclamante, la prognosi non può essere negativa e la libertà condizionale va concessa.</w:t>
      </w:r>
    </w:p>
    <w:p>
      <w:r>
        <w:rPr>
          <w:b/>
        </w:rPr>
        <w:t>E. 3.4</w:t>
      </w:r>
    </w:p>
    <w:p>
      <w:r>
        <w:t>Dagli atti, e come detto, risulta che il reclamante ha dei precedenti, nel suo paese, per i quali ha dovuto scontare lunghi anni di carcerazione. Dopo una prima condanna a quattro mesi di reclusione, sospesi condizionalmente (in data 21.9.1993), egli ha subito una condanna di sei anni di reclusione in data 25.10.1994 (per rapina continuata, rapina tentata, furto, e altri reati riferiti alle armi) e una condanna di sedici anni e quattro mesi di reclusione in data 10.7.2001 (in particolare per omicidio e tentata rapina). Da quest’ultima condanna è stato affidato ai servizi in data 25.10.2010, ed è stato definitivamente liberato a fine luglio 2012. I reati per cui è stato condannato in Ticino sono stati commessi a metà luglio del 2012. Non deve pertanto sorprendere che la Corte di primo grado, esaminando la sospensione della pena, abbia ritenuto che la pena fosse “… evidentemente da espiare, non essendoci spazio alcuno per una possibile prognosi non negativa vista la sua scarcerazione, neanche un anno prima, dopo una condanna di 17 anni e 4 mesi di reclusione .” (sentenza 27.11.2013, punto 25 p. 31). A questa situazione di partenza si è aggiunto l’ammonimento del maggio 2013, oggetto anche dell’atto d’accusa (punto 4, contravvenzione alla LStup). Se quest’ultimo episodio è ampiamente compensato e controbilanciato da un comportamento corretto tenuto in espiazione della pena, resta una situazione di partenza di manifesto rischio di recidiva. Detto rischio non è eliminato o ridotto in modo sostanziale dalla situazione prospettata per il reclamante nel prossimo futuro, in caso di liberazione condizionale. Sia l’attività lavorativa prospettata (presso il fratello), sia la situazione abitativa (convivenza con la propria compagna) non divergono, ma anzi sono simili, a quelle esistenti dopo la definitiva liberazione. Per questo non si può ragionevolmente argomentare che la futura attività presso il fratello e la convivenza con la compagna siano tali da escludere o ridurre il rischio di commissione di nuovi reati. Anche lo “ stato di panico ”, addotto nel reclamo a dimostrazione dell’inesistenza del pericolo di recidiva, non è determinante, anche perché menzionato solo di transenna, e non adeguatamente accertato. Neppure il fatto che RE 1 debba lasciare la Svizzera, a seguito della decisione di allontanamento del 5.8.2014, esclude un pericolo di recidiva: in questa valutazione, non si possono scartare eventuali futuri reati, anche all’estero. Questa decisione di allontanamento esclude ovviamente un reinserimento sociale in Svizzera e l’adozione di misure finalizzate a questo scopo sul territorio elvetico. Il tentativo messo in atto dall’UAR per ovviare a questo, imponendo delle condizioni particolari al preavviso positivo ( rientro a __________, obbligo di risiedere dalla compagna, obbligo di esercitare una regolare professione presso l’esercizio pubblico del fratello), appare problematico. Anzitutto queste condizioni particolari, siccome proiettate all’estero, sono di problematica attuazione o verifica, e ciò anche se il reclamante ha consentito i contatti necessari: problematica è anche la loro efficacia, probabilmente ridotta a mero invito (DTF 140 IV 86 ss.). Inoltre, la loro legalità appare dubbia, con riferimento all’art. 299 CP e alle sentenze 29.1.2013 del Tribunale penale federale (inc. SK.2012.20) e 22.7.2013 del Tribunale federale (6B_235/2013).</w:t>
      </w:r>
    </w:p>
    <w:p>
      <w:r>
        <w:rPr>
          <w:b/>
        </w:rPr>
        <w:t>E. 3.5</w:t>
      </w:r>
    </w:p>
    <w:p>
      <w:r>
        <w:t>In queste condizioni la prognosi sfavorevole formulata dal giudice dei provvedimenti coercitivi, in ragione del pericolo di recidiva, è sostenibile, ciò che pertanto esclude la concessione della liberazione condizionale.</w:t>
      </w:r>
    </w:p>
    <w:p>
      <w:r>
        <w:rPr>
          <w:b/>
        </w:rPr>
        <w:t>E. 4</w:t>
      </w:r>
    </w:p>
    <w:p>
      <w:r>
        <w:t>.   Il reclamo è respinto. La tassa di giustizia e le spese seguono la soccombenza. Per questi motivi, richiamati gli art. 86 CP, 393 ss. CPP, 12 LEPM, 25 LTG ed ogni altra disposizione applicabile, pronuncia 1.   Il reclamo è respinto. 2.   La tassa di giustizia di CHF 200.-- e le spese di CHF 50.--, per complessivi CHF 250.-- (duecentocinquanta), sono poste a carico di RE 1, __________,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